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2820E">
      <w:pPr>
        <w:pStyle w:val="12"/>
        <w:widowControl w:val="0"/>
        <w:kinsoku/>
        <w:autoSpaceDE/>
        <w:autoSpaceDN/>
        <w:adjustRightInd/>
        <w:snapToGrid/>
        <w:spacing w:line="800" w:lineRule="exact"/>
        <w:jc w:val="both"/>
        <w:textAlignment w:val="auto"/>
        <w:rPr>
          <w:rFonts w:ascii="黑体" w:hAnsi="黑体" w:eastAsia="黑体" w:cs="黑体"/>
          <w:bCs/>
          <w:snapToGrid/>
          <w:color w:val="auto"/>
          <w:spacing w:val="20"/>
          <w:w w:val="80"/>
          <w:kern w:val="2"/>
          <w:sz w:val="48"/>
          <w:szCs w:val="48"/>
        </w:rPr>
      </w:pPr>
    </w:p>
    <w:p w14:paraId="4E4B4E53">
      <w:pPr>
        <w:kinsoku/>
        <w:spacing w:line="960" w:lineRule="exact"/>
        <w:jc w:val="center"/>
        <w:rPr>
          <w:rFonts w:hint="eastAsia" w:ascii="黑体" w:hAnsi="黑体" w:eastAsia="黑体" w:cs="黑体"/>
          <w:bCs/>
          <w:color w:val="auto"/>
          <w:sz w:val="44"/>
          <w:szCs w:val="44"/>
          <w:lang w:val="en-US" w:eastAsia="zh-CN"/>
        </w:rPr>
      </w:pPr>
      <w:r>
        <w:rPr>
          <w:rFonts w:hint="eastAsia" w:ascii="黑体" w:hAnsi="黑体" w:eastAsia="黑体" w:cs="黑体"/>
          <w:bCs/>
          <w:snapToGrid/>
          <w:color w:val="auto"/>
          <w:spacing w:val="20"/>
          <w:w w:val="80"/>
          <w:kern w:val="2"/>
          <w:sz w:val="44"/>
          <w:szCs w:val="44"/>
        </w:rPr>
        <w:t>绵阳管理处</w:t>
      </w:r>
      <w:r>
        <w:rPr>
          <w:rFonts w:ascii="黑体" w:hAnsi="黑体" w:eastAsia="黑体" w:cs="黑体"/>
          <w:bCs/>
          <w:snapToGrid/>
          <w:color w:val="auto"/>
          <w:spacing w:val="20"/>
          <w:w w:val="80"/>
          <w:kern w:val="2"/>
          <w:sz w:val="44"/>
          <w:szCs w:val="44"/>
        </w:rPr>
        <w:t>沿线</w:t>
      </w:r>
      <w:r>
        <w:rPr>
          <w:rFonts w:hint="eastAsia" w:ascii="黑体" w:hAnsi="黑体" w:eastAsia="黑体" w:cs="黑体"/>
          <w:bCs/>
          <w:snapToGrid/>
          <w:color w:val="auto"/>
          <w:spacing w:val="20"/>
          <w:w w:val="80"/>
          <w:kern w:val="2"/>
          <w:sz w:val="44"/>
          <w:szCs w:val="44"/>
        </w:rPr>
        <w:t>职工食堂2025年度食材采购项目</w:t>
      </w:r>
      <w:r>
        <w:rPr>
          <w:rFonts w:hint="eastAsia" w:ascii="黑体" w:hAnsi="黑体" w:eastAsia="黑体" w:cs="黑体"/>
          <w:bCs/>
          <w:snapToGrid/>
          <w:color w:val="auto"/>
          <w:spacing w:val="20"/>
          <w:w w:val="80"/>
          <w:kern w:val="2"/>
          <w:sz w:val="44"/>
          <w:szCs w:val="44"/>
          <w:lang w:eastAsia="zh-CN"/>
        </w:rPr>
        <w:t>（</w:t>
      </w:r>
      <w:r>
        <w:rPr>
          <w:rFonts w:hint="eastAsia" w:ascii="黑体" w:hAnsi="黑体" w:eastAsia="黑体" w:cs="黑体"/>
          <w:bCs/>
          <w:snapToGrid/>
          <w:color w:val="auto"/>
          <w:spacing w:val="20"/>
          <w:w w:val="80"/>
          <w:kern w:val="2"/>
          <w:sz w:val="44"/>
          <w:szCs w:val="44"/>
          <w:lang w:val="en-US" w:eastAsia="zh-CN"/>
        </w:rPr>
        <w:t>第二次</w:t>
      </w:r>
      <w:r>
        <w:rPr>
          <w:rFonts w:hint="eastAsia" w:ascii="黑体" w:hAnsi="黑体" w:eastAsia="黑体" w:cs="黑体"/>
          <w:bCs/>
          <w:snapToGrid/>
          <w:color w:val="auto"/>
          <w:spacing w:val="20"/>
          <w:w w:val="80"/>
          <w:kern w:val="2"/>
          <w:sz w:val="44"/>
          <w:szCs w:val="44"/>
          <w:lang w:eastAsia="zh-CN"/>
        </w:rPr>
        <w:t>）</w:t>
      </w:r>
    </w:p>
    <w:p w14:paraId="096F7A15">
      <w:pPr>
        <w:kinsoku/>
        <w:jc w:val="center"/>
        <w:rPr>
          <w:rFonts w:asciiTheme="minorEastAsia" w:hAnsiTheme="minorEastAsia"/>
          <w:color w:val="auto"/>
          <w:sz w:val="28"/>
          <w:szCs w:val="28"/>
        </w:rPr>
      </w:pPr>
    </w:p>
    <w:p w14:paraId="129CF5B2">
      <w:pPr>
        <w:pStyle w:val="24"/>
        <w:kinsoku/>
        <w:ind w:left="0" w:leftChars="0" w:firstLine="0" w:firstLineChars="0"/>
        <w:rPr>
          <w:rFonts w:asciiTheme="minorEastAsia" w:hAnsiTheme="minorEastAsia" w:eastAsiaTheme="minorEastAsia"/>
          <w:color w:val="auto"/>
          <w:sz w:val="28"/>
          <w:szCs w:val="28"/>
        </w:rPr>
      </w:pPr>
    </w:p>
    <w:p w14:paraId="3E76E81F">
      <w:pPr>
        <w:pStyle w:val="24"/>
        <w:kinsoku/>
        <w:ind w:left="0" w:leftChars="0" w:firstLine="0" w:firstLineChars="0"/>
        <w:rPr>
          <w:rFonts w:asciiTheme="minorEastAsia" w:hAnsiTheme="minorEastAsia" w:eastAsiaTheme="minorEastAsia"/>
          <w:color w:val="auto"/>
          <w:sz w:val="28"/>
          <w:szCs w:val="28"/>
        </w:rPr>
      </w:pPr>
    </w:p>
    <w:p w14:paraId="2912D25E">
      <w:pPr>
        <w:kinsoku/>
        <w:rPr>
          <w:color w:val="auto"/>
          <w:sz w:val="20"/>
          <w:szCs w:val="20"/>
        </w:rPr>
      </w:pPr>
    </w:p>
    <w:p w14:paraId="2299C4C3">
      <w:pPr>
        <w:kinsoku/>
        <w:rPr>
          <w:color w:val="auto"/>
          <w:sz w:val="20"/>
          <w:szCs w:val="20"/>
        </w:rPr>
      </w:pPr>
    </w:p>
    <w:p w14:paraId="5AAC7917">
      <w:pPr>
        <w:kinsoku/>
        <w:rPr>
          <w:color w:val="auto"/>
          <w:sz w:val="20"/>
          <w:szCs w:val="20"/>
        </w:rPr>
      </w:pPr>
    </w:p>
    <w:p w14:paraId="620A53EC">
      <w:pPr>
        <w:kinsoku/>
        <w:rPr>
          <w:color w:val="auto"/>
          <w:sz w:val="20"/>
          <w:szCs w:val="20"/>
        </w:rPr>
      </w:pPr>
    </w:p>
    <w:p w14:paraId="282EBD8D">
      <w:pPr>
        <w:kinsoku/>
        <w:rPr>
          <w:color w:val="auto"/>
          <w:sz w:val="20"/>
          <w:szCs w:val="20"/>
        </w:rPr>
      </w:pPr>
    </w:p>
    <w:p w14:paraId="4D058161">
      <w:pPr>
        <w:kinsoku/>
        <w:rPr>
          <w:color w:val="auto"/>
          <w:sz w:val="20"/>
          <w:szCs w:val="20"/>
        </w:rPr>
      </w:pPr>
    </w:p>
    <w:p w14:paraId="621B6F55">
      <w:pPr>
        <w:kinsoku/>
        <w:rPr>
          <w:color w:val="auto"/>
          <w:sz w:val="20"/>
          <w:szCs w:val="20"/>
        </w:rPr>
      </w:pPr>
    </w:p>
    <w:p w14:paraId="44472383">
      <w:pPr>
        <w:kinsoku/>
        <w:rPr>
          <w:color w:val="auto"/>
          <w:sz w:val="20"/>
          <w:szCs w:val="20"/>
        </w:rPr>
      </w:pPr>
    </w:p>
    <w:p w14:paraId="740D0863">
      <w:pPr>
        <w:kinsoku/>
        <w:rPr>
          <w:color w:val="auto"/>
          <w:sz w:val="20"/>
          <w:szCs w:val="20"/>
        </w:rPr>
      </w:pPr>
    </w:p>
    <w:p w14:paraId="604F33F9">
      <w:pPr>
        <w:pStyle w:val="24"/>
        <w:kinsoku/>
        <w:ind w:left="0" w:leftChars="0" w:firstLine="0" w:firstLineChars="0"/>
        <w:rPr>
          <w:rFonts w:eastAsiaTheme="minorEastAsia"/>
          <w:color w:val="auto"/>
          <w:sz w:val="20"/>
          <w:szCs w:val="20"/>
        </w:rPr>
      </w:pPr>
    </w:p>
    <w:p w14:paraId="16BBE2C7">
      <w:pPr>
        <w:kinsoku/>
        <w:jc w:val="center"/>
        <w:rPr>
          <w:rFonts w:asciiTheme="minorEastAsia" w:hAnsiTheme="minorEastAsia"/>
          <w:color w:val="auto"/>
          <w:sz w:val="28"/>
          <w:szCs w:val="28"/>
        </w:rPr>
      </w:pPr>
    </w:p>
    <w:p w14:paraId="7D5DD3DD">
      <w:pPr>
        <w:pStyle w:val="24"/>
        <w:kinsoku/>
        <w:ind w:left="0" w:leftChars="0" w:firstLine="0" w:firstLineChars="0"/>
        <w:jc w:val="center"/>
        <w:rPr>
          <w:rFonts w:ascii="黑体" w:hAnsi="黑体" w:eastAsia="黑体" w:cs="黑体"/>
          <w:color w:val="auto"/>
          <w:sz w:val="20"/>
          <w:szCs w:val="20"/>
        </w:rPr>
      </w:pPr>
    </w:p>
    <w:p w14:paraId="1DC3FCE9">
      <w:pPr>
        <w:pStyle w:val="12"/>
        <w:widowControl w:val="0"/>
        <w:kinsoku/>
        <w:autoSpaceDE/>
        <w:autoSpaceDN/>
        <w:adjustRightInd/>
        <w:snapToGrid/>
        <w:spacing w:line="840" w:lineRule="exact"/>
        <w:jc w:val="center"/>
        <w:textAlignment w:val="auto"/>
        <w:rPr>
          <w:rFonts w:ascii="方正小标宋简体" w:hAnsi="方正小标宋简体" w:eastAsia="方正小标宋简体" w:cs="方正小标宋简体"/>
          <w:b/>
          <w:snapToGrid/>
          <w:color w:val="auto"/>
          <w:kern w:val="2"/>
          <w:sz w:val="84"/>
          <w:szCs w:val="84"/>
        </w:rPr>
      </w:pPr>
      <w:r>
        <w:rPr>
          <w:rFonts w:hint="eastAsia" w:ascii="黑体" w:hAnsi="黑体" w:eastAsia="黑体" w:cs="黑体"/>
          <w:snapToGrid/>
          <w:color w:val="auto"/>
          <w:kern w:val="2"/>
          <w:sz w:val="84"/>
          <w:szCs w:val="84"/>
        </w:rPr>
        <w:t>比 选 文 件</w:t>
      </w:r>
    </w:p>
    <w:p w14:paraId="32D9A5F5">
      <w:pPr>
        <w:kinsoku/>
        <w:jc w:val="center"/>
        <w:rPr>
          <w:rFonts w:asciiTheme="minorEastAsia" w:hAnsiTheme="minorEastAsia"/>
          <w:color w:val="auto"/>
          <w:sz w:val="40"/>
          <w:szCs w:val="40"/>
        </w:rPr>
      </w:pPr>
    </w:p>
    <w:p w14:paraId="540C1568">
      <w:pPr>
        <w:pStyle w:val="24"/>
        <w:kinsoku/>
        <w:ind w:left="0" w:leftChars="0" w:firstLine="0" w:firstLineChars="0"/>
        <w:rPr>
          <w:rFonts w:eastAsiaTheme="minorEastAsia"/>
          <w:color w:val="auto"/>
          <w:sz w:val="20"/>
          <w:szCs w:val="20"/>
        </w:rPr>
      </w:pPr>
    </w:p>
    <w:p w14:paraId="18359D91">
      <w:pPr>
        <w:kinsoku/>
        <w:jc w:val="center"/>
        <w:rPr>
          <w:rFonts w:asciiTheme="minorEastAsia" w:hAnsiTheme="minorEastAsia"/>
          <w:color w:val="auto"/>
          <w:sz w:val="40"/>
          <w:szCs w:val="40"/>
        </w:rPr>
      </w:pPr>
    </w:p>
    <w:p w14:paraId="6C8D7B05">
      <w:pPr>
        <w:kinsoku/>
        <w:jc w:val="center"/>
        <w:rPr>
          <w:rFonts w:asciiTheme="minorEastAsia" w:hAnsiTheme="minorEastAsia"/>
          <w:color w:val="auto"/>
          <w:sz w:val="40"/>
          <w:szCs w:val="40"/>
        </w:rPr>
      </w:pPr>
    </w:p>
    <w:p w14:paraId="260BC7B0">
      <w:pPr>
        <w:pStyle w:val="24"/>
        <w:kinsoku/>
        <w:ind w:left="0" w:leftChars="0" w:firstLine="0" w:firstLineChars="0"/>
        <w:rPr>
          <w:rFonts w:eastAsiaTheme="minorEastAsia"/>
          <w:color w:val="auto"/>
          <w:sz w:val="20"/>
          <w:szCs w:val="20"/>
        </w:rPr>
      </w:pPr>
    </w:p>
    <w:p w14:paraId="0E21386B">
      <w:pPr>
        <w:kinsoku/>
        <w:jc w:val="both"/>
        <w:rPr>
          <w:rFonts w:asciiTheme="minorEastAsia" w:hAnsiTheme="minorEastAsia"/>
          <w:color w:val="auto"/>
          <w:sz w:val="40"/>
          <w:szCs w:val="40"/>
        </w:rPr>
      </w:pPr>
    </w:p>
    <w:p w14:paraId="56CB9C52">
      <w:pPr>
        <w:kinsoku/>
        <w:jc w:val="both"/>
        <w:rPr>
          <w:rFonts w:asciiTheme="minorEastAsia" w:hAnsiTheme="minorEastAsia"/>
          <w:color w:val="auto"/>
          <w:sz w:val="40"/>
          <w:szCs w:val="40"/>
        </w:rPr>
      </w:pPr>
    </w:p>
    <w:p w14:paraId="557964B8">
      <w:pPr>
        <w:kinsoku/>
        <w:spacing w:line="360" w:lineRule="auto"/>
        <w:jc w:val="center"/>
        <w:rPr>
          <w:rFonts w:asciiTheme="minorEastAsia" w:hAnsiTheme="minorEastAsia"/>
          <w:color w:val="auto"/>
          <w:sz w:val="40"/>
          <w:szCs w:val="40"/>
        </w:rPr>
      </w:pPr>
    </w:p>
    <w:p w14:paraId="0F648633">
      <w:pPr>
        <w:tabs>
          <w:tab w:val="left" w:pos="5220"/>
          <w:tab w:val="left" w:pos="5400"/>
          <w:tab w:val="left" w:pos="5580"/>
        </w:tabs>
        <w:kinsoku/>
        <w:spacing w:line="360" w:lineRule="auto"/>
        <w:jc w:val="center"/>
        <w:outlineLvl w:val="0"/>
        <w:rPr>
          <w:rFonts w:ascii="黑体" w:hAnsi="黑体" w:eastAsia="黑体" w:cs="黑体"/>
          <w:bCs/>
          <w:color w:val="auto"/>
          <w:kern w:val="2"/>
          <w:sz w:val="32"/>
          <w:szCs w:val="32"/>
        </w:rPr>
      </w:pPr>
      <w:bookmarkStart w:id="0" w:name="_Toc32642"/>
      <w:bookmarkStart w:id="1" w:name="_Toc8506"/>
      <w:bookmarkStart w:id="2" w:name="_Toc14203"/>
      <w:bookmarkStart w:id="3" w:name="_Toc4567"/>
      <w:bookmarkStart w:id="4" w:name="_Toc27822"/>
      <w:bookmarkStart w:id="5" w:name="_Toc17685"/>
      <w:bookmarkStart w:id="6" w:name="_Toc9945"/>
      <w:bookmarkStart w:id="7" w:name="_Toc13469"/>
      <w:bookmarkStart w:id="8" w:name="_Toc32007"/>
      <w:bookmarkStart w:id="9" w:name="_Toc32132"/>
      <w:bookmarkStart w:id="10" w:name="_Toc15471"/>
      <w:bookmarkStart w:id="11" w:name="_Toc15163"/>
      <w:bookmarkStart w:id="12" w:name="_Toc26334"/>
      <w:r>
        <w:rPr>
          <w:rFonts w:hint="eastAsia" w:ascii="黑体" w:hAnsi="黑体" w:eastAsia="黑体" w:cs="黑体"/>
          <w:bCs/>
          <w:snapToGrid/>
          <w:color w:val="auto"/>
          <w:kern w:val="2"/>
          <w:sz w:val="32"/>
          <w:szCs w:val="32"/>
        </w:rPr>
        <w:t>比选人：</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bCs/>
          <w:snapToGrid/>
          <w:color w:val="auto"/>
          <w:kern w:val="2"/>
          <w:sz w:val="32"/>
          <w:szCs w:val="32"/>
        </w:rPr>
        <w:t>四川高速公路建设开发集团有限公司成都分公司</w:t>
      </w:r>
    </w:p>
    <w:p w14:paraId="55CBD502">
      <w:pPr>
        <w:pStyle w:val="12"/>
        <w:kinsoku/>
        <w:spacing w:line="840" w:lineRule="exact"/>
        <w:jc w:val="center"/>
        <w:rPr>
          <w:rFonts w:ascii="黑体" w:hAnsi="黑体" w:eastAsia="黑体" w:cs="黑体"/>
          <w:bCs/>
          <w:color w:val="auto"/>
          <w:kern w:val="2"/>
          <w:sz w:val="32"/>
          <w:szCs w:val="32"/>
        </w:rPr>
      </w:pPr>
      <w:r>
        <w:rPr>
          <w:rFonts w:hint="eastAsia" w:ascii="黑体" w:hAnsi="黑体" w:eastAsia="黑体" w:cs="黑体"/>
          <w:bCs/>
          <w:color w:val="auto"/>
          <w:kern w:val="2"/>
          <w:sz w:val="32"/>
          <w:szCs w:val="32"/>
        </w:rPr>
        <w:t>二○二五年</w:t>
      </w:r>
      <w:r>
        <w:rPr>
          <w:rFonts w:hint="eastAsia" w:ascii="黑体" w:hAnsi="黑体" w:eastAsia="黑体" w:cs="黑体"/>
          <w:bCs/>
          <w:color w:val="auto"/>
          <w:kern w:val="2"/>
          <w:sz w:val="32"/>
          <w:szCs w:val="32"/>
          <w:lang w:val="en-US" w:eastAsia="zh-CN"/>
        </w:rPr>
        <w:t>六</w:t>
      </w:r>
      <w:r>
        <w:rPr>
          <w:rFonts w:hint="eastAsia" w:ascii="黑体" w:hAnsi="黑体" w:eastAsia="黑体" w:cs="黑体"/>
          <w:bCs/>
          <w:color w:val="auto"/>
          <w:kern w:val="2"/>
          <w:sz w:val="32"/>
          <w:szCs w:val="32"/>
        </w:rPr>
        <w:t>月</w:t>
      </w:r>
    </w:p>
    <w:p w14:paraId="374478E2">
      <w:pPr>
        <w:pStyle w:val="12"/>
        <w:kinsoku/>
        <w:spacing w:line="840" w:lineRule="exact"/>
        <w:jc w:val="center"/>
        <w:rPr>
          <w:rFonts w:ascii="黑体" w:hAnsi="黑体" w:eastAsia="黑体" w:cs="黑体"/>
          <w:bCs/>
          <w:color w:val="auto"/>
          <w:kern w:val="2"/>
          <w:sz w:val="32"/>
          <w:szCs w:val="32"/>
        </w:rPr>
        <w:sectPr>
          <w:headerReference r:id="rId3" w:type="default"/>
          <w:footerReference r:id="rId4" w:type="default"/>
          <w:pgSz w:w="11910" w:h="16840"/>
          <w:pgMar w:top="1440" w:right="1800" w:bottom="1440" w:left="1800" w:header="0" w:footer="1321" w:gutter="0"/>
          <w:pgNumType w:start="1"/>
          <w:cols w:space="720" w:num="1"/>
        </w:sectPr>
      </w:pPr>
    </w:p>
    <w:p w14:paraId="58357851">
      <w:pPr>
        <w:pStyle w:val="12"/>
        <w:kinsoku/>
        <w:spacing w:line="840" w:lineRule="exact"/>
        <w:jc w:val="center"/>
        <w:rPr>
          <w:rFonts w:ascii="黑体" w:hAnsi="黑体" w:eastAsia="黑体" w:cs="黑体"/>
          <w:bCs/>
          <w:color w:val="auto"/>
          <w:kern w:val="2"/>
          <w:sz w:val="32"/>
          <w:szCs w:val="32"/>
        </w:rPr>
      </w:pPr>
    </w:p>
    <w:sdt>
      <w:sdtPr>
        <w:rPr>
          <w:rFonts w:hint="eastAsia" w:ascii="黑体" w:hAnsi="黑体" w:eastAsia="黑体" w:cs="黑体"/>
          <w:sz w:val="32"/>
          <w:szCs w:val="32"/>
        </w:rPr>
        <w:id w:val="147451234"/>
        <w15:color w:val="DBDBDB"/>
        <w:docPartObj>
          <w:docPartGallery w:val="Table of Contents"/>
          <w:docPartUnique/>
        </w:docPartObj>
      </w:sdtPr>
      <w:sdtEndPr>
        <w:rPr>
          <w:rFonts w:hint="eastAsia" w:ascii="Arial" w:hAnsi="Arial" w:eastAsia="Arial" w:cs="Arial"/>
          <w:sz w:val="21"/>
          <w:szCs w:val="21"/>
        </w:rPr>
      </w:sdtEndPr>
      <w:sdtContent>
        <w:p w14:paraId="59D777B7">
          <w:pPr>
            <w:jc w:val="center"/>
            <w:rPr>
              <w:rFonts w:ascii="黑体" w:hAnsi="黑体" w:eastAsia="黑体" w:cs="黑体"/>
              <w:sz w:val="32"/>
              <w:szCs w:val="32"/>
            </w:rPr>
          </w:pPr>
        </w:p>
        <w:p w14:paraId="721347AF">
          <w:pPr>
            <w:jc w:val="both"/>
            <w:rPr>
              <w:rFonts w:ascii="宋体" w:hAnsi="宋体" w:eastAsia="宋体"/>
            </w:rPr>
          </w:pPr>
        </w:p>
        <w:p w14:paraId="34B66B9F">
          <w:pPr>
            <w:pStyle w:val="2"/>
            <w:rPr>
              <w:rFonts w:ascii="宋体" w:hAnsi="宋体" w:cs="Arial"/>
              <w:sz w:val="21"/>
            </w:rPr>
          </w:pPr>
        </w:p>
        <w:p w14:paraId="19086E69"/>
        <w:p w14:paraId="4B0DBCB7">
          <w:pPr>
            <w:jc w:val="center"/>
            <w:rPr>
              <w:rFonts w:ascii="黑体" w:hAnsi="黑体" w:eastAsia="黑体" w:cs="黑体"/>
              <w:sz w:val="32"/>
              <w:szCs w:val="32"/>
            </w:rPr>
          </w:pPr>
          <w:r>
            <w:rPr>
              <w:rFonts w:hint="eastAsia" w:ascii="黑体" w:hAnsi="黑体" w:eastAsia="黑体" w:cs="黑体"/>
              <w:sz w:val="44"/>
              <w:szCs w:val="44"/>
            </w:rPr>
            <w:t>目  录</w:t>
          </w:r>
        </w:p>
        <w:p w14:paraId="2EFC0D39">
          <w:pPr>
            <w:pStyle w:val="57"/>
            <w:tabs>
              <w:tab w:val="right" w:leader="dot" w:pos="8310"/>
            </w:tabs>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p>
        <w:p w14:paraId="2F062ADB">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"_Toc480" </w:instrText>
          </w:r>
          <w:r>
            <w:fldChar w:fldCharType="separate"/>
          </w:r>
          <w:r>
            <w:rPr>
              <w:rFonts w:hint="eastAsia" w:ascii="黑体" w:hAnsi="黑体" w:eastAsia="黑体" w:cs="黑体"/>
              <w:kern w:val="2"/>
              <w:sz w:val="32"/>
              <w:szCs w:val="32"/>
            </w:rPr>
            <w:t>第一章  比选公告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_Toc480 \h </w:instrText>
          </w:r>
          <w:r>
            <w:rPr>
              <w:rFonts w:hint="eastAsia" w:ascii="黑体" w:hAnsi="黑体" w:eastAsia="黑体" w:cs="黑体"/>
              <w:sz w:val="32"/>
              <w:szCs w:val="32"/>
            </w:rPr>
            <w:fldChar w:fldCharType="separate"/>
          </w:r>
          <w:r>
            <w:rPr>
              <w:rFonts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4CDFF4F">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"_Toc17040" </w:instrText>
          </w:r>
          <w:r>
            <w:fldChar w:fldCharType="separate"/>
          </w:r>
          <w:r>
            <w:rPr>
              <w:rFonts w:hint="eastAsia" w:ascii="黑体" w:hAnsi="黑体" w:eastAsia="黑体" w:cs="黑体"/>
              <w:sz w:val="32"/>
              <w:szCs w:val="32"/>
            </w:rPr>
            <w:t>第二章  比选申请人须知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_Toc17040 \h </w:instrText>
          </w:r>
          <w:r>
            <w:rPr>
              <w:rFonts w:hint="eastAsia" w:ascii="黑体" w:hAnsi="黑体" w:eastAsia="黑体" w:cs="黑体"/>
              <w:sz w:val="32"/>
              <w:szCs w:val="32"/>
            </w:rPr>
            <w:fldChar w:fldCharType="separate"/>
          </w:r>
          <w:r>
            <w:rPr>
              <w:rFonts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E0AEACF">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"_Toc30686" </w:instrText>
          </w:r>
          <w:r>
            <w:fldChar w:fldCharType="separate"/>
          </w:r>
          <w:r>
            <w:rPr>
              <w:rFonts w:hint="eastAsia" w:ascii="黑体" w:hAnsi="黑体" w:eastAsia="黑体" w:cs="黑体"/>
              <w:spacing w:val="18"/>
              <w:sz w:val="32"/>
              <w:szCs w:val="32"/>
            </w:rPr>
            <w:t>第三章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_Toc30686 \h </w:instrText>
          </w:r>
          <w:r>
            <w:rPr>
              <w:rFonts w:hint="eastAsia" w:ascii="黑体" w:hAnsi="黑体" w:eastAsia="黑体" w:cs="黑体"/>
              <w:sz w:val="32"/>
              <w:szCs w:val="32"/>
            </w:rPr>
            <w:fldChar w:fldCharType="separate"/>
          </w:r>
          <w:r>
            <w:rPr>
              <w:rFonts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E63809C">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"_Toc21025" </w:instrText>
          </w:r>
          <w:r>
            <w:fldChar w:fldCharType="separate"/>
          </w:r>
          <w:r>
            <w:rPr>
              <w:rFonts w:hint="eastAsia" w:ascii="黑体" w:hAnsi="黑体" w:eastAsia="黑体" w:cs="黑体"/>
              <w:spacing w:val="6"/>
              <w:sz w:val="32"/>
              <w:szCs w:val="32"/>
            </w:rPr>
            <w:t>第四章  合同条款及格式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_Toc21025 \h </w:instrText>
          </w:r>
          <w:r>
            <w:rPr>
              <w:rFonts w:hint="eastAsia" w:ascii="黑体" w:hAnsi="黑体" w:eastAsia="黑体" w:cs="黑体"/>
              <w:sz w:val="32"/>
              <w:szCs w:val="32"/>
            </w:rPr>
            <w:fldChar w:fldCharType="separate"/>
          </w:r>
          <w:r>
            <w:rPr>
              <w:rFonts w:ascii="黑体" w:hAnsi="黑体" w:eastAsia="黑体" w:cs="黑体"/>
              <w:sz w:val="32"/>
              <w:szCs w:val="32"/>
            </w:rPr>
            <w:t>22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3EA246C">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"_Toc18048" </w:instrText>
          </w:r>
          <w:r>
            <w:fldChar w:fldCharType="separate"/>
          </w:r>
          <w:r>
            <w:rPr>
              <w:rFonts w:hint="eastAsia" w:ascii="黑体" w:hAnsi="黑体" w:eastAsia="黑体" w:cs="黑体"/>
              <w:spacing w:val="5"/>
              <w:sz w:val="32"/>
              <w:szCs w:val="32"/>
            </w:rPr>
            <w:t xml:space="preserve">第五章  </w:t>
          </w:r>
          <w:r>
            <w:rPr>
              <w:rFonts w:hint="eastAsia" w:ascii="黑体" w:hAnsi="黑体" w:eastAsia="黑体" w:cs="黑体"/>
              <w:sz w:val="32"/>
              <w:szCs w:val="32"/>
            </w:rPr>
            <w:t>委托人要求</w:t>
          </w:r>
          <w:r>
            <w:rPr>
              <w:rFonts w:hint="eastAsia" w:ascii="黑体" w:hAnsi="黑体" w:eastAsia="黑体" w:cs="黑体"/>
              <w:sz w:val="32"/>
              <w:szCs w:val="32"/>
            </w:rPr>
            <w:tab/>
          </w:r>
          <w:r>
            <w:rPr>
              <w:rFonts w:ascii="黑体" w:hAnsi="黑体" w:eastAsia="黑体" w:cs="黑体"/>
              <w:sz w:val="32"/>
              <w:szCs w:val="32"/>
            </w:rPr>
            <w:t>.</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_Toc18048 \h </w:instrText>
          </w:r>
          <w:r>
            <w:rPr>
              <w:rFonts w:hint="eastAsia" w:ascii="黑体" w:hAnsi="黑体" w:eastAsia="黑体" w:cs="黑体"/>
              <w:sz w:val="32"/>
              <w:szCs w:val="32"/>
            </w:rPr>
            <w:fldChar w:fldCharType="separate"/>
          </w:r>
          <w:r>
            <w:rPr>
              <w:rFonts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E97B04D">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"_Toc123" </w:instrText>
          </w:r>
          <w:r>
            <w:fldChar w:fldCharType="separate"/>
          </w:r>
          <w:r>
            <w:rPr>
              <w:rFonts w:hint="eastAsia" w:ascii="黑体" w:hAnsi="黑体" w:eastAsia="黑体" w:cs="黑体"/>
              <w:spacing w:val="10"/>
              <w:sz w:val="32"/>
              <w:szCs w:val="32"/>
            </w:rPr>
            <w:t>第六章  比选申请文件格式</w:t>
          </w:r>
          <w:r>
            <w:rPr>
              <w:rFonts w:hint="eastAsia" w:ascii="黑体" w:hAnsi="黑体" w:eastAsia="黑体" w:cs="黑体"/>
              <w:sz w:val="32"/>
              <w:szCs w:val="32"/>
            </w:rPr>
            <w:tab/>
          </w:r>
          <w:r>
            <w:rPr>
              <w:rFonts w:ascii="黑体" w:hAnsi="黑体" w:eastAsia="黑体" w:cs="黑体"/>
              <w:sz w:val="32"/>
              <w:szCs w:val="32"/>
            </w:rPr>
            <w:t>39</w:t>
          </w:r>
          <w:r>
            <w:rPr>
              <w:rFonts w:ascii="黑体" w:hAnsi="黑体" w:eastAsia="黑体" w:cs="黑体"/>
              <w:sz w:val="32"/>
              <w:szCs w:val="32"/>
            </w:rPr>
            <w:fldChar w:fldCharType="end"/>
          </w:r>
        </w:p>
        <w:p w14:paraId="33BC9E56">
          <w:r>
            <w:rPr>
              <w:rFonts w:hint="eastAsia" w:ascii="黑体" w:hAnsi="黑体" w:eastAsia="黑体" w:cs="黑体"/>
              <w:sz w:val="32"/>
              <w:szCs w:val="32"/>
            </w:rPr>
            <w:fldChar w:fldCharType="end"/>
          </w:r>
        </w:p>
      </w:sdtContent>
    </w:sdt>
    <w:p w14:paraId="45E1BA43">
      <w:pPr>
        <w:jc w:val="center"/>
        <w:rPr>
          <w:rFonts w:ascii="黑体" w:hAnsi="黑体" w:eastAsia="黑体" w:cs="黑体"/>
          <w:snapToGrid/>
          <w:color w:val="auto"/>
          <w:kern w:val="2"/>
          <w:sz w:val="44"/>
          <w:szCs w:val="44"/>
        </w:rPr>
      </w:pPr>
    </w:p>
    <w:p w14:paraId="25060702">
      <w:pPr>
        <w:pStyle w:val="8"/>
        <w:rPr>
          <w:rFonts w:ascii="黑体" w:hAnsi="黑体" w:eastAsia="黑体" w:cs="黑体"/>
          <w:snapToGrid/>
          <w:color w:val="auto"/>
          <w:kern w:val="2"/>
          <w:sz w:val="44"/>
          <w:szCs w:val="44"/>
        </w:rPr>
      </w:pPr>
    </w:p>
    <w:p w14:paraId="6B6798A8">
      <w:pPr>
        <w:rPr>
          <w:rFonts w:ascii="黑体" w:hAnsi="黑体" w:eastAsia="黑体" w:cs="黑体"/>
          <w:snapToGrid/>
          <w:color w:val="auto"/>
          <w:kern w:val="2"/>
          <w:sz w:val="44"/>
          <w:szCs w:val="44"/>
        </w:rPr>
      </w:pPr>
    </w:p>
    <w:p w14:paraId="629AD69C">
      <w:pPr>
        <w:pStyle w:val="8"/>
        <w:rPr>
          <w:rFonts w:ascii="黑体" w:hAnsi="黑体" w:eastAsia="黑体" w:cs="黑体"/>
          <w:snapToGrid/>
          <w:color w:val="auto"/>
          <w:kern w:val="2"/>
          <w:sz w:val="44"/>
          <w:szCs w:val="44"/>
        </w:rPr>
      </w:pPr>
    </w:p>
    <w:p w14:paraId="66D02676">
      <w:pPr>
        <w:rPr>
          <w:rFonts w:ascii="黑体" w:hAnsi="黑体" w:eastAsia="黑体" w:cs="黑体"/>
          <w:snapToGrid/>
          <w:color w:val="auto"/>
          <w:kern w:val="2"/>
          <w:sz w:val="44"/>
          <w:szCs w:val="44"/>
        </w:rPr>
      </w:pPr>
    </w:p>
    <w:p w14:paraId="6E6E3594">
      <w:pPr>
        <w:pStyle w:val="8"/>
        <w:rPr>
          <w:rFonts w:ascii="黑体" w:hAnsi="黑体" w:eastAsia="黑体" w:cs="黑体"/>
          <w:snapToGrid/>
          <w:color w:val="auto"/>
          <w:kern w:val="2"/>
          <w:sz w:val="44"/>
          <w:szCs w:val="44"/>
        </w:rPr>
      </w:pPr>
    </w:p>
    <w:p w14:paraId="34509878">
      <w:pPr>
        <w:rPr>
          <w:rFonts w:ascii="黑体" w:hAnsi="黑体" w:eastAsia="黑体" w:cs="黑体"/>
          <w:snapToGrid/>
          <w:color w:val="auto"/>
          <w:kern w:val="2"/>
          <w:sz w:val="44"/>
          <w:szCs w:val="44"/>
        </w:rPr>
      </w:pPr>
    </w:p>
    <w:p w14:paraId="0CE84AE3">
      <w:pPr>
        <w:pStyle w:val="8"/>
        <w:rPr>
          <w:rFonts w:ascii="黑体" w:hAnsi="黑体" w:eastAsia="黑体" w:cs="黑体"/>
          <w:snapToGrid/>
          <w:color w:val="auto"/>
          <w:kern w:val="2"/>
          <w:sz w:val="44"/>
          <w:szCs w:val="44"/>
        </w:rPr>
      </w:pPr>
    </w:p>
    <w:p w14:paraId="51CD8278">
      <w:pPr>
        <w:rPr>
          <w:rFonts w:ascii="黑体" w:hAnsi="黑体" w:eastAsia="黑体" w:cs="黑体"/>
          <w:snapToGrid/>
          <w:color w:val="auto"/>
          <w:kern w:val="2"/>
          <w:sz w:val="44"/>
          <w:szCs w:val="44"/>
        </w:rPr>
      </w:pPr>
    </w:p>
    <w:p w14:paraId="740449F0">
      <w:pPr>
        <w:pStyle w:val="8"/>
        <w:sectPr>
          <w:footerReference r:id="rId5" w:type="default"/>
          <w:pgSz w:w="11910" w:h="16840"/>
          <w:pgMar w:top="1440" w:right="1800" w:bottom="1440" w:left="1800" w:header="0" w:footer="1321" w:gutter="0"/>
          <w:pgNumType w:start="1"/>
          <w:cols w:space="720" w:num="1"/>
        </w:sectPr>
      </w:pPr>
    </w:p>
    <w:p w14:paraId="4DDDFE3B"/>
    <w:p w14:paraId="5EA2AF7C">
      <w:pPr>
        <w:kinsoku/>
        <w:spacing w:line="680" w:lineRule="exact"/>
        <w:jc w:val="both"/>
        <w:rPr>
          <w:rFonts w:ascii="黑体" w:hAnsi="黑体" w:eastAsia="黑体" w:cs="黑体"/>
          <w:snapToGrid/>
          <w:color w:val="auto"/>
          <w:kern w:val="2"/>
          <w:sz w:val="44"/>
          <w:szCs w:val="44"/>
        </w:rPr>
      </w:pPr>
    </w:p>
    <w:p w14:paraId="20D4BA0E">
      <w:pPr>
        <w:kinsoku/>
        <w:spacing w:line="680" w:lineRule="exact"/>
        <w:jc w:val="both"/>
        <w:rPr>
          <w:rFonts w:ascii="黑体" w:hAnsi="黑体" w:eastAsia="黑体" w:cs="黑体"/>
          <w:snapToGrid/>
          <w:color w:val="auto"/>
          <w:kern w:val="2"/>
          <w:sz w:val="44"/>
          <w:szCs w:val="44"/>
        </w:rPr>
      </w:pPr>
    </w:p>
    <w:p w14:paraId="22C873F7">
      <w:pPr>
        <w:kinsoku/>
        <w:spacing w:line="680" w:lineRule="exact"/>
        <w:jc w:val="center"/>
        <w:rPr>
          <w:rFonts w:ascii="黑体" w:hAnsi="黑体" w:eastAsia="黑体" w:cs="黑体"/>
          <w:snapToGrid/>
          <w:color w:val="auto"/>
          <w:kern w:val="2"/>
          <w:sz w:val="44"/>
          <w:szCs w:val="44"/>
        </w:rPr>
      </w:pPr>
    </w:p>
    <w:p w14:paraId="20A7660D">
      <w:pPr>
        <w:kinsoku/>
        <w:spacing w:line="680" w:lineRule="exact"/>
        <w:jc w:val="center"/>
        <w:outlineLvl w:val="0"/>
        <w:rPr>
          <w:rFonts w:hint="eastAsia" w:ascii="黑体" w:hAnsi="黑体" w:eastAsia="黑体" w:cs="黑体"/>
          <w:color w:val="auto"/>
          <w:kern w:val="2"/>
          <w:sz w:val="44"/>
          <w:szCs w:val="44"/>
          <w:lang w:eastAsia="zh-CN"/>
        </w:rPr>
      </w:pPr>
      <w:bookmarkStart w:id="13" w:name="_Toc480"/>
      <w:r>
        <w:rPr>
          <w:rFonts w:hint="eastAsia" w:ascii="黑体" w:hAnsi="黑体" w:eastAsia="黑体" w:cs="黑体"/>
          <w:snapToGrid/>
          <w:color w:val="auto"/>
          <w:kern w:val="2"/>
          <w:sz w:val="44"/>
          <w:szCs w:val="44"/>
        </w:rPr>
        <w:t xml:space="preserve">第一章 </w:t>
      </w:r>
      <w:r>
        <w:rPr>
          <w:rFonts w:hint="eastAsia" w:ascii="黑体" w:hAnsi="黑体" w:eastAsia="黑体" w:cs="黑体"/>
          <w:snapToGrid/>
          <w:color w:val="auto"/>
          <w:kern w:val="2"/>
          <w:sz w:val="44"/>
          <w:szCs w:val="44"/>
          <w:lang w:eastAsia="zh-CN"/>
        </w:rPr>
        <w:t>（</w:t>
      </w:r>
      <w:r>
        <w:rPr>
          <w:rFonts w:hint="eastAsia" w:ascii="黑体" w:hAnsi="黑体" w:eastAsia="黑体" w:cs="黑体"/>
          <w:snapToGrid/>
          <w:color w:val="auto"/>
          <w:kern w:val="2"/>
          <w:sz w:val="44"/>
          <w:szCs w:val="44"/>
          <w:lang w:val="en-US" w:eastAsia="zh-CN"/>
        </w:rPr>
        <w:t>第二次</w:t>
      </w:r>
      <w:r>
        <w:rPr>
          <w:rFonts w:hint="eastAsia" w:ascii="黑体" w:hAnsi="黑体" w:eastAsia="黑体" w:cs="黑体"/>
          <w:snapToGrid/>
          <w:color w:val="auto"/>
          <w:kern w:val="2"/>
          <w:sz w:val="44"/>
          <w:szCs w:val="44"/>
          <w:lang w:eastAsia="zh-CN"/>
        </w:rPr>
        <w:t>）</w:t>
      </w:r>
      <w:r>
        <w:rPr>
          <w:rFonts w:hint="eastAsia" w:ascii="黑体" w:hAnsi="黑体" w:eastAsia="黑体" w:cs="黑体"/>
          <w:snapToGrid/>
          <w:color w:val="auto"/>
          <w:kern w:val="2"/>
          <w:sz w:val="44"/>
          <w:szCs w:val="44"/>
        </w:rPr>
        <w:t>比选公告</w:t>
      </w:r>
      <w:bookmarkEnd w:id="13"/>
      <w:bookmarkStart w:id="14" w:name="_bookmark1"/>
      <w:bookmarkEnd w:id="14"/>
    </w:p>
    <w:p w14:paraId="54CA385A">
      <w:pPr>
        <w:kinsoku/>
        <w:spacing w:line="680" w:lineRule="exact"/>
        <w:jc w:val="both"/>
        <w:rPr>
          <w:rFonts w:ascii="黑体" w:hAnsi="黑体" w:eastAsia="黑体" w:cs="黑体"/>
          <w:snapToGrid/>
          <w:color w:val="auto"/>
          <w:kern w:val="2"/>
          <w:sz w:val="44"/>
          <w:szCs w:val="44"/>
        </w:rPr>
      </w:pPr>
    </w:p>
    <w:p w14:paraId="0E77654B">
      <w:pPr>
        <w:kinsoku/>
        <w:spacing w:line="680" w:lineRule="exact"/>
        <w:jc w:val="both"/>
        <w:rPr>
          <w:rFonts w:ascii="黑体" w:hAnsi="黑体" w:eastAsia="黑体" w:cs="黑体"/>
          <w:snapToGrid/>
          <w:color w:val="auto"/>
          <w:kern w:val="2"/>
          <w:sz w:val="44"/>
          <w:szCs w:val="44"/>
        </w:rPr>
      </w:pPr>
    </w:p>
    <w:p w14:paraId="162DC564">
      <w:pPr>
        <w:pStyle w:val="8"/>
        <w:rPr>
          <w:rFonts w:ascii="黑体" w:hAnsi="黑体" w:eastAsia="黑体" w:cs="黑体"/>
          <w:snapToGrid/>
          <w:color w:val="auto"/>
          <w:kern w:val="2"/>
          <w:sz w:val="44"/>
          <w:szCs w:val="44"/>
        </w:rPr>
      </w:pPr>
    </w:p>
    <w:p w14:paraId="22BA06D6">
      <w:pPr>
        <w:rPr>
          <w:rFonts w:ascii="黑体" w:hAnsi="黑体" w:eastAsia="黑体" w:cs="黑体"/>
          <w:snapToGrid/>
          <w:color w:val="auto"/>
          <w:kern w:val="2"/>
          <w:sz w:val="44"/>
          <w:szCs w:val="44"/>
        </w:rPr>
      </w:pPr>
    </w:p>
    <w:p w14:paraId="4F3D6245">
      <w:pPr>
        <w:pStyle w:val="8"/>
        <w:rPr>
          <w:rFonts w:ascii="黑体" w:hAnsi="黑体" w:eastAsia="黑体" w:cs="黑体"/>
          <w:snapToGrid/>
          <w:color w:val="auto"/>
          <w:kern w:val="2"/>
          <w:sz w:val="44"/>
          <w:szCs w:val="44"/>
        </w:rPr>
      </w:pPr>
    </w:p>
    <w:p w14:paraId="49D29DD2">
      <w:pPr>
        <w:rPr>
          <w:rFonts w:ascii="黑体" w:hAnsi="黑体" w:eastAsia="黑体" w:cs="黑体"/>
          <w:snapToGrid/>
          <w:color w:val="auto"/>
          <w:kern w:val="2"/>
          <w:sz w:val="44"/>
          <w:szCs w:val="44"/>
        </w:rPr>
      </w:pPr>
    </w:p>
    <w:p w14:paraId="6D3D7ABE">
      <w:pPr>
        <w:pStyle w:val="8"/>
        <w:rPr>
          <w:rFonts w:ascii="黑体" w:hAnsi="黑体" w:eastAsia="黑体" w:cs="黑体"/>
          <w:snapToGrid/>
          <w:color w:val="auto"/>
          <w:kern w:val="2"/>
          <w:sz w:val="44"/>
          <w:szCs w:val="44"/>
        </w:rPr>
      </w:pPr>
    </w:p>
    <w:p w14:paraId="0F61029E">
      <w:pPr>
        <w:rPr>
          <w:rFonts w:ascii="黑体" w:hAnsi="黑体" w:eastAsia="黑体" w:cs="黑体"/>
          <w:snapToGrid/>
          <w:color w:val="auto"/>
          <w:kern w:val="2"/>
          <w:sz w:val="44"/>
          <w:szCs w:val="44"/>
        </w:rPr>
      </w:pPr>
    </w:p>
    <w:p w14:paraId="541C560B">
      <w:pPr>
        <w:pStyle w:val="8"/>
        <w:rPr>
          <w:rFonts w:ascii="黑体" w:hAnsi="黑体" w:eastAsia="黑体" w:cs="黑体"/>
          <w:snapToGrid/>
          <w:color w:val="auto"/>
          <w:kern w:val="2"/>
          <w:sz w:val="44"/>
          <w:szCs w:val="44"/>
        </w:rPr>
      </w:pPr>
    </w:p>
    <w:p w14:paraId="103D7D67">
      <w:pPr>
        <w:rPr>
          <w:rFonts w:ascii="黑体" w:hAnsi="黑体" w:eastAsia="黑体" w:cs="黑体"/>
          <w:snapToGrid/>
          <w:color w:val="auto"/>
          <w:kern w:val="2"/>
          <w:sz w:val="44"/>
          <w:szCs w:val="44"/>
        </w:rPr>
      </w:pPr>
    </w:p>
    <w:p w14:paraId="1954211F">
      <w:pPr>
        <w:pStyle w:val="8"/>
        <w:rPr>
          <w:rFonts w:ascii="黑体" w:hAnsi="黑体" w:eastAsia="黑体" w:cs="黑体"/>
          <w:snapToGrid/>
          <w:color w:val="auto"/>
          <w:kern w:val="2"/>
          <w:sz w:val="44"/>
          <w:szCs w:val="44"/>
        </w:rPr>
      </w:pPr>
    </w:p>
    <w:p w14:paraId="4C345FB9"/>
    <w:p w14:paraId="731EC6E7">
      <w:pPr>
        <w:rPr>
          <w:rFonts w:ascii="黑体" w:hAnsi="黑体" w:eastAsia="黑体" w:cs="黑体"/>
          <w:snapToGrid/>
          <w:color w:val="auto"/>
          <w:kern w:val="2"/>
          <w:sz w:val="44"/>
          <w:szCs w:val="44"/>
        </w:rPr>
      </w:pPr>
    </w:p>
    <w:p w14:paraId="4BC77315">
      <w:pPr>
        <w:pStyle w:val="8"/>
        <w:rPr>
          <w:rFonts w:ascii="黑体" w:hAnsi="黑体" w:eastAsia="黑体" w:cs="黑体"/>
          <w:snapToGrid/>
          <w:color w:val="auto"/>
          <w:kern w:val="2"/>
          <w:sz w:val="44"/>
          <w:szCs w:val="44"/>
        </w:rPr>
      </w:pPr>
    </w:p>
    <w:p w14:paraId="22ED721C"/>
    <w:p w14:paraId="15E1CFA3"/>
    <w:p w14:paraId="457D205B">
      <w:pPr>
        <w:rPr>
          <w:rFonts w:ascii="黑体" w:hAnsi="黑体" w:eastAsia="黑体" w:cs="黑体"/>
          <w:snapToGrid/>
          <w:color w:val="auto"/>
          <w:kern w:val="2"/>
          <w:sz w:val="44"/>
          <w:szCs w:val="44"/>
        </w:rPr>
      </w:pPr>
    </w:p>
    <w:p w14:paraId="6AD051BE">
      <w:pPr>
        <w:pStyle w:val="8"/>
      </w:pPr>
    </w:p>
    <w:p w14:paraId="33BDEA55">
      <w:pPr>
        <w:pStyle w:val="8"/>
      </w:pPr>
    </w:p>
    <w:p w14:paraId="5E613378"/>
    <w:p w14:paraId="2F82A209">
      <w:pPr>
        <w:kinsoku/>
        <w:spacing w:line="680" w:lineRule="exact"/>
        <w:jc w:val="center"/>
        <w:rPr>
          <w:rFonts w:hint="eastAsia" w:ascii="宋体" w:hAnsi="宋体" w:eastAsia="宋体" w:cs="宋体"/>
          <w:b/>
          <w:bCs/>
          <w:color w:val="auto"/>
          <w:kern w:val="2"/>
          <w:sz w:val="32"/>
          <w:szCs w:val="32"/>
        </w:rPr>
      </w:pPr>
      <w:r>
        <w:rPr>
          <w:rFonts w:hint="eastAsia" w:ascii="宋体" w:hAnsi="宋体" w:eastAsia="宋体" w:cs="宋体"/>
          <w:b/>
          <w:bCs/>
          <w:color w:val="auto"/>
          <w:kern w:val="2"/>
          <w:sz w:val="32"/>
          <w:szCs w:val="32"/>
        </w:rPr>
        <w:t>绵阳管理处沿线职工食堂2025年度食材采购项目</w:t>
      </w:r>
    </w:p>
    <w:p w14:paraId="1A7BA0FA">
      <w:pPr>
        <w:kinsoku/>
        <w:spacing w:line="680" w:lineRule="exact"/>
        <w:jc w:val="center"/>
        <w:rPr>
          <w:rFonts w:ascii="宋体" w:hAnsi="宋体" w:eastAsia="宋体" w:cs="宋体"/>
          <w:b/>
          <w:bCs/>
          <w:color w:val="auto"/>
          <w:kern w:val="2"/>
          <w:sz w:val="32"/>
          <w:szCs w:val="32"/>
        </w:rPr>
      </w:pPr>
      <w:r>
        <w:rPr>
          <w:rFonts w:hint="eastAsia" w:ascii="宋体" w:hAnsi="宋体" w:eastAsia="宋体" w:cs="宋体"/>
          <w:b/>
          <w:bCs/>
          <w:color w:val="auto"/>
          <w:kern w:val="2"/>
          <w:sz w:val="32"/>
          <w:szCs w:val="32"/>
          <w:lang w:eastAsia="zh-CN"/>
        </w:rPr>
        <w:t>（</w:t>
      </w:r>
      <w:r>
        <w:rPr>
          <w:rFonts w:hint="eastAsia" w:ascii="宋体" w:hAnsi="宋体" w:eastAsia="宋体" w:cs="宋体"/>
          <w:b/>
          <w:bCs/>
          <w:color w:val="auto"/>
          <w:kern w:val="2"/>
          <w:sz w:val="32"/>
          <w:szCs w:val="32"/>
          <w:lang w:val="en-US" w:eastAsia="zh-CN"/>
        </w:rPr>
        <w:t>第二次</w:t>
      </w:r>
      <w:r>
        <w:rPr>
          <w:rFonts w:hint="eastAsia" w:ascii="宋体" w:hAnsi="宋体" w:eastAsia="宋体" w:cs="宋体"/>
          <w:b/>
          <w:bCs/>
          <w:color w:val="auto"/>
          <w:kern w:val="2"/>
          <w:sz w:val="32"/>
          <w:szCs w:val="32"/>
          <w:lang w:eastAsia="zh-CN"/>
        </w:rPr>
        <w:t>）</w:t>
      </w:r>
      <w:r>
        <w:rPr>
          <w:rFonts w:hint="eastAsia" w:ascii="宋体" w:hAnsi="宋体" w:eastAsia="宋体" w:cs="宋体"/>
          <w:b/>
          <w:bCs/>
          <w:color w:val="auto"/>
          <w:kern w:val="2"/>
          <w:sz w:val="32"/>
          <w:szCs w:val="32"/>
        </w:rPr>
        <w:t>比选公告</w:t>
      </w:r>
    </w:p>
    <w:p w14:paraId="05C9B04B">
      <w:pPr>
        <w:kinsoku/>
        <w:spacing w:line="480" w:lineRule="exact"/>
        <w:ind w:left="29" w:firstLine="422" w:firstLineChars="200"/>
        <w:jc w:val="both"/>
        <w:rPr>
          <w:rFonts w:ascii="宋体" w:hAnsi="宋体" w:eastAsia="宋体" w:cs="宋体"/>
          <w:b/>
          <w:bCs/>
          <w:color w:val="auto"/>
          <w:kern w:val="2"/>
        </w:rPr>
      </w:pPr>
    </w:p>
    <w:p w14:paraId="51704E64">
      <w:pPr>
        <w:kinsoku/>
        <w:spacing w:line="480" w:lineRule="exact"/>
        <w:ind w:left="29" w:firstLine="422" w:firstLineChars="200"/>
        <w:jc w:val="both"/>
        <w:rPr>
          <w:rFonts w:ascii="宋体" w:hAnsi="宋体" w:eastAsia="宋体" w:cs="宋体"/>
          <w:b/>
          <w:bCs/>
          <w:color w:val="auto"/>
          <w:kern w:val="2"/>
        </w:rPr>
      </w:pPr>
      <w:r>
        <w:rPr>
          <w:rFonts w:hint="eastAsia" w:ascii="宋体" w:hAnsi="宋体" w:eastAsia="宋体" w:cs="宋体"/>
          <w:b/>
          <w:bCs/>
          <w:color w:val="auto"/>
          <w:kern w:val="2"/>
        </w:rPr>
        <w:t>1．比选条件</w:t>
      </w:r>
    </w:p>
    <w:p w14:paraId="71E07824">
      <w:pPr>
        <w:kinsoku/>
        <w:spacing w:line="480" w:lineRule="exact"/>
        <w:ind w:right="11" w:firstLine="443" w:firstLineChars="209"/>
        <w:rPr>
          <w:rFonts w:ascii="宋体" w:hAnsi="宋体" w:eastAsia="宋体" w:cs="宋体"/>
          <w:color w:val="auto"/>
          <w:spacing w:val="1"/>
        </w:rPr>
      </w:pPr>
      <w:r>
        <w:rPr>
          <w:rFonts w:hint="eastAsia" w:ascii="宋体" w:hAnsi="宋体" w:eastAsia="宋体" w:cs="宋体"/>
          <w:color w:val="auto"/>
          <w:spacing w:val="1"/>
        </w:rPr>
        <w:t>为进一步规范职工食堂食材采购工作，确保食材持续稳定供应以及食品质量安全，</w:t>
      </w:r>
      <w:r>
        <w:rPr>
          <w:rFonts w:hint="eastAsia" w:ascii="宋体" w:hAnsi="宋体" w:eastAsia="宋体" w:cs="宋体"/>
          <w:color w:val="auto"/>
          <w:spacing w:val="1"/>
          <w:u w:val="single"/>
        </w:rPr>
        <w:t xml:space="preserve"> 四川高速公路建设开发集团有限公司成都分公司 </w:t>
      </w:r>
      <w:r>
        <w:rPr>
          <w:rFonts w:hint="eastAsia" w:ascii="宋体" w:hAnsi="宋体" w:eastAsia="宋体" w:cs="宋体"/>
          <w:color w:val="auto"/>
          <w:spacing w:val="1"/>
        </w:rPr>
        <w:t>(以下简称“比选人”)已具备采购条件，现对</w:t>
      </w:r>
      <w:r>
        <w:rPr>
          <w:rFonts w:hint="eastAsia" w:ascii="宋体" w:hAnsi="宋体" w:eastAsia="宋体" w:cs="宋体"/>
          <w:color w:val="auto"/>
          <w:spacing w:val="1"/>
          <w:u w:val="single"/>
        </w:rPr>
        <w:t xml:space="preserve"> 绵阳管理处沿线职工食堂2025年度食材采购项目</w:t>
      </w:r>
      <w:r>
        <w:rPr>
          <w:rFonts w:hint="eastAsia" w:ascii="宋体" w:hAnsi="宋体" w:eastAsia="宋体" w:cs="宋体"/>
          <w:color w:val="auto"/>
          <w:spacing w:val="1"/>
          <w:u w:val="single"/>
          <w:lang w:eastAsia="zh-CN"/>
        </w:rPr>
        <w:t>（</w:t>
      </w:r>
      <w:r>
        <w:rPr>
          <w:rFonts w:hint="eastAsia" w:ascii="宋体" w:hAnsi="宋体" w:eastAsia="宋体" w:cs="宋体"/>
          <w:color w:val="auto"/>
          <w:spacing w:val="1"/>
          <w:u w:val="single"/>
          <w:lang w:val="en-US" w:eastAsia="zh-CN"/>
        </w:rPr>
        <w:t>第二次</w:t>
      </w:r>
      <w:r>
        <w:rPr>
          <w:rFonts w:hint="eastAsia" w:ascii="宋体" w:hAnsi="宋体" w:eastAsia="宋体" w:cs="宋体"/>
          <w:color w:val="auto"/>
          <w:spacing w:val="1"/>
          <w:u w:val="single"/>
          <w:lang w:eastAsia="zh-CN"/>
        </w:rPr>
        <w:t>）</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（以下称“本项目”）进行比选。</w:t>
      </w:r>
    </w:p>
    <w:p w14:paraId="493635F1">
      <w:pPr>
        <w:kinsoku/>
        <w:spacing w:line="480" w:lineRule="exact"/>
        <w:ind w:firstLine="432" w:firstLineChars="209"/>
        <w:outlineLvl w:val="0"/>
        <w:rPr>
          <w:rFonts w:ascii="宋体" w:hAnsi="宋体" w:eastAsia="宋体" w:cs="宋体"/>
          <w:color w:val="auto"/>
        </w:rPr>
      </w:pPr>
      <w:bookmarkStart w:id="15" w:name="_Toc32028"/>
      <w:bookmarkStart w:id="16" w:name="_Toc30297"/>
      <w:bookmarkStart w:id="17" w:name="_Toc1080"/>
      <w:bookmarkStart w:id="18" w:name="_Toc6536"/>
      <w:r>
        <w:rPr>
          <w:rFonts w:hint="eastAsia" w:ascii="宋体" w:hAnsi="宋体" w:eastAsia="宋体" w:cs="宋体"/>
          <w:b/>
          <w:bCs/>
          <w:color w:val="auto"/>
          <w:spacing w:val="-2"/>
        </w:rPr>
        <w:t>2.项目</w:t>
      </w:r>
      <w:bookmarkEnd w:id="15"/>
      <w:r>
        <w:rPr>
          <w:rFonts w:hint="eastAsia" w:ascii="宋体" w:hAnsi="宋体" w:eastAsia="宋体" w:cs="宋体"/>
          <w:b/>
          <w:bCs/>
          <w:color w:val="auto"/>
          <w:spacing w:val="-2"/>
        </w:rPr>
        <w:t>概况与比选范围</w:t>
      </w:r>
      <w:bookmarkEnd w:id="16"/>
      <w:bookmarkEnd w:id="17"/>
      <w:bookmarkEnd w:id="18"/>
    </w:p>
    <w:p w14:paraId="310456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2.1 项目概况</w:t>
      </w:r>
    </w:p>
    <w:p w14:paraId="242F378C">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为指定食堂提供食材采购及配送服务，主要内容包括但不限于：</w:t>
      </w:r>
      <w:r>
        <w:rPr>
          <w:rFonts w:hint="eastAsia" w:ascii="宋体" w:hAnsi="宋体" w:eastAsia="宋体" w:cs="宋体"/>
          <w:color w:val="auto"/>
          <w:spacing w:val="-3"/>
          <w:u w:val="single"/>
        </w:rPr>
        <w:t>水果、米面粮油、肉禽蛋品、海鲜水产、蔬菜豆制品、干杂副食类、调味品、乳品烘焙、日用杂品等</w:t>
      </w:r>
      <w:r>
        <w:rPr>
          <w:rFonts w:hint="eastAsia" w:ascii="宋体" w:hAnsi="宋体" w:eastAsia="宋体" w:cs="宋体"/>
          <w:color w:val="auto"/>
          <w:spacing w:val="-3"/>
        </w:rPr>
        <w:t>，实际以需方根据当季食材及需方通知为准。</w:t>
      </w:r>
    </w:p>
    <w:p w14:paraId="65E6A07F">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2.2 项目要求</w:t>
      </w:r>
    </w:p>
    <w:p w14:paraId="5F35D0A2">
      <w:pPr>
        <w:kinsoku/>
        <w:spacing w:line="480" w:lineRule="exact"/>
        <w:ind w:right="6" w:firstLine="426" w:firstLineChars="209"/>
        <w:jc w:val="both"/>
        <w:rPr>
          <w:rFonts w:ascii="宋体" w:hAnsi="宋体" w:eastAsia="宋体" w:cs="宋体"/>
          <w:color w:val="auto"/>
          <w:spacing w:val="-3"/>
        </w:rPr>
      </w:pPr>
      <w:r>
        <w:rPr>
          <w:rFonts w:ascii="宋体" w:hAnsi="宋体" w:eastAsia="宋体" w:cs="宋体"/>
          <w:color w:val="auto"/>
          <w:spacing w:val="-3"/>
        </w:rPr>
        <w:t>质量要求：食材新鲜且必须符合国家以及食品行业</w:t>
      </w:r>
      <w:r>
        <w:rPr>
          <w:rFonts w:hint="eastAsia" w:ascii="宋体" w:hAnsi="宋体" w:eastAsia="宋体" w:cs="宋体"/>
          <w:color w:val="auto"/>
          <w:spacing w:val="-3"/>
        </w:rPr>
        <w:t>最新</w:t>
      </w:r>
      <w:r>
        <w:rPr>
          <w:rFonts w:ascii="宋体" w:hAnsi="宋体" w:eastAsia="宋体" w:cs="宋体"/>
          <w:color w:val="auto"/>
          <w:spacing w:val="-3"/>
        </w:rPr>
        <w:t>相关规定。</w:t>
      </w:r>
    </w:p>
    <w:p w14:paraId="7E514DB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2.3 送货地点：</w:t>
      </w:r>
      <w:r>
        <w:rPr>
          <w:rFonts w:hint="eastAsia" w:ascii="宋体" w:hAnsi="宋体" w:eastAsia="宋体" w:cs="宋体"/>
          <w:color w:val="auto"/>
          <w:spacing w:val="-3"/>
          <w:u w:val="single"/>
        </w:rPr>
        <w:t xml:space="preserve"> 绵阳管理处沿线各收费站食堂（详见比选申请人须知前附表</w:t>
      </w:r>
      <w:r>
        <w:rPr>
          <w:rFonts w:ascii="宋体" w:hAnsi="宋体" w:eastAsia="宋体" w:cs="宋体"/>
          <w:color w:val="auto"/>
          <w:spacing w:val="-3"/>
          <w:u w:val="single"/>
        </w:rPr>
        <w:t>）</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w:t>
      </w:r>
    </w:p>
    <w:p w14:paraId="4B706C6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2.4 服务周期</w:t>
      </w:r>
    </w:p>
    <w:p w14:paraId="0C89BF2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1 </w:t>
      </w:r>
      <w:r>
        <w:rPr>
          <w:rFonts w:hint="eastAsia" w:ascii="宋体" w:hAnsi="宋体" w:eastAsia="宋体" w:cs="宋体"/>
          <w:color w:val="auto"/>
          <w:spacing w:val="-3"/>
        </w:rPr>
        <w:t>年，自本合同签订之日起生效。</w:t>
      </w:r>
    </w:p>
    <w:p w14:paraId="29A7440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如遇上级单位政策调整或供方无法满足需方基本要求或</w:t>
      </w:r>
      <w:r>
        <w:rPr>
          <w:rFonts w:hint="eastAsia" w:ascii="宋体" w:hAnsi="宋体" w:eastAsia="宋体" w:cs="宋体"/>
          <w:color w:val="404040"/>
        </w:rPr>
        <w:t>供方出现2次未按时配送或食材抽检不合格率超过</w:t>
      </w:r>
      <w:r>
        <w:rPr>
          <w:rFonts w:ascii="Segoe UI" w:hAnsi="Segoe UI" w:cs="Segoe UI"/>
          <w:color w:val="404040"/>
        </w:rPr>
        <w:t>5%，</w:t>
      </w:r>
      <w:r>
        <w:rPr>
          <w:rFonts w:hint="eastAsia" w:ascii="宋体" w:hAnsi="宋体" w:eastAsia="宋体" w:cs="宋体"/>
          <w:color w:val="auto"/>
          <w:spacing w:val="-3"/>
        </w:rPr>
        <w:t>需方可随时终止合同，服务结束。</w:t>
      </w:r>
    </w:p>
    <w:p w14:paraId="788E8E8C">
      <w:pPr>
        <w:kinsoku/>
        <w:spacing w:line="480" w:lineRule="exact"/>
        <w:ind w:firstLine="411" w:firstLineChars="209"/>
        <w:jc w:val="both"/>
        <w:outlineLvl w:val="0"/>
        <w:rPr>
          <w:rFonts w:ascii="宋体" w:hAnsi="宋体" w:eastAsia="宋体" w:cs="宋体"/>
          <w:color w:val="auto"/>
        </w:rPr>
      </w:pPr>
      <w:bookmarkStart w:id="19" w:name="_Toc21553"/>
      <w:bookmarkStart w:id="20" w:name="_Toc11974"/>
      <w:bookmarkStart w:id="21" w:name="_Toc21156"/>
      <w:bookmarkStart w:id="22" w:name="_Toc23581"/>
      <w:r>
        <w:rPr>
          <w:rFonts w:hint="eastAsia" w:ascii="宋体" w:hAnsi="宋体" w:eastAsia="宋体" w:cs="宋体"/>
          <w:b/>
          <w:bCs/>
          <w:color w:val="auto"/>
          <w:spacing w:val="-7"/>
        </w:rPr>
        <w:t>3.</w:t>
      </w:r>
      <w:r>
        <w:rPr>
          <w:rFonts w:hint="eastAsia" w:ascii="宋体" w:hAnsi="宋体" w:cs="宋体"/>
          <w:b/>
          <w:bCs/>
          <w:color w:val="auto"/>
          <w:spacing w:val="-7"/>
        </w:rPr>
        <w:t>比选申请人</w:t>
      </w:r>
      <w:r>
        <w:rPr>
          <w:rFonts w:hint="eastAsia" w:ascii="宋体" w:hAnsi="宋体" w:eastAsia="宋体" w:cs="宋体"/>
          <w:b/>
          <w:bCs/>
          <w:color w:val="auto"/>
          <w:spacing w:val="-7"/>
        </w:rPr>
        <w:t>资格要求</w:t>
      </w:r>
      <w:bookmarkEnd w:id="19"/>
      <w:bookmarkEnd w:id="20"/>
      <w:bookmarkEnd w:id="21"/>
      <w:bookmarkEnd w:id="22"/>
    </w:p>
    <w:p w14:paraId="654FAC3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资质要求</w:t>
      </w:r>
    </w:p>
    <w:p w14:paraId="15F6EA6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p w14:paraId="53A4D9F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业绩要求</w:t>
      </w:r>
    </w:p>
    <w:p w14:paraId="056968E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日至本项目比选截止日期间），独立承担过1个及以上政府机关、事业单位、国营企业单位、大型超市食材供应项目。食材供应项目中的品类至少包含比选公告2</w:t>
      </w:r>
      <w:r>
        <w:rPr>
          <w:rFonts w:ascii="宋体" w:hAnsi="宋体" w:eastAsia="宋体" w:cs="宋体"/>
          <w:color w:val="auto"/>
          <w:spacing w:val="-3"/>
        </w:rPr>
        <w:t>.1所规定的大类中的</w:t>
      </w:r>
      <w:r>
        <w:rPr>
          <w:rFonts w:hint="eastAsia" w:ascii="宋体" w:hAnsi="宋体" w:eastAsia="宋体" w:cs="宋体"/>
          <w:color w:val="auto"/>
          <w:spacing w:val="-3"/>
        </w:rPr>
        <w:t>5类为有效项目，大型超市指注册资金在5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p w14:paraId="2FB88F3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3.4 信誉要求</w:t>
      </w:r>
    </w:p>
    <w:p w14:paraId="694C81F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(http://zxgk.court.gov.cn/shixin/)中被列入失信被执行人名单的比选申请人，其提交的比选申请文件将视为无效；</w:t>
      </w:r>
    </w:p>
    <w:p w14:paraId="3CFDDF8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18E86B8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2022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p w14:paraId="5723A08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日至本项目比选截止日期间）比选申请人（单位）和法定代表人无在大众媒体、知名网站、搜索引擎上（包括但不限于国家、政府网站、百度、腾讯等同类型网站）被公开批露或查询到的负面信息。</w:t>
      </w:r>
    </w:p>
    <w:p w14:paraId="3B8D7DC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3.5 本次比选</w:t>
      </w:r>
      <w:r>
        <w:rPr>
          <w:rFonts w:hint="eastAsia" w:ascii="宋体" w:hAnsi="宋体" w:eastAsia="宋体" w:cs="宋体"/>
          <w:b/>
          <w:bCs/>
          <w:color w:val="auto"/>
          <w:spacing w:val="-3"/>
          <w:u w:val="single"/>
        </w:rPr>
        <w:t>不接受</w:t>
      </w:r>
      <w:r>
        <w:rPr>
          <w:rFonts w:hint="eastAsia" w:ascii="宋体" w:hAnsi="宋体" w:eastAsia="宋体" w:cs="宋体"/>
          <w:color w:val="auto"/>
          <w:spacing w:val="-3"/>
        </w:rPr>
        <w:t>联合体比选申请。</w:t>
      </w:r>
    </w:p>
    <w:p w14:paraId="7518A0D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3.6 与比选人存在利害关系可能影响比选公正性的单位，不得参加比选申请。法定代表人（或单位负责人）为同一人或者存在控股、管理关系的不同比选申请人，不得参加同一标段比选申请。否则，相关比选申请均无效。</w:t>
      </w:r>
    </w:p>
    <w:p w14:paraId="684FA612">
      <w:pPr>
        <w:kinsoku/>
        <w:spacing w:line="480" w:lineRule="exact"/>
        <w:ind w:right="3" w:firstLine="441" w:firstLineChars="209"/>
        <w:jc w:val="both"/>
        <w:rPr>
          <w:rFonts w:ascii="宋体" w:hAnsi="宋体" w:eastAsia="宋体" w:cs="宋体"/>
          <w:b/>
          <w:bCs/>
          <w:color w:val="auto"/>
          <w:kern w:val="2"/>
        </w:rPr>
      </w:pPr>
      <w:r>
        <w:rPr>
          <w:rFonts w:hint="eastAsia" w:ascii="宋体" w:hAnsi="宋体" w:eastAsia="宋体" w:cs="宋体"/>
          <w:b/>
          <w:bCs/>
          <w:color w:val="auto"/>
          <w:kern w:val="2"/>
        </w:rPr>
        <w:t>评审办法</w:t>
      </w:r>
    </w:p>
    <w:p w14:paraId="2E9AD544">
      <w:pPr>
        <w:pStyle w:val="5"/>
        <w:kinsoku/>
        <w:spacing w:before="0" w:after="0" w:line="480" w:lineRule="exact"/>
        <w:ind w:firstLine="408" w:firstLineChars="200"/>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本次比选采用单信封形式，资格后审。评审办法采用综合评分法。</w:t>
      </w:r>
    </w:p>
    <w:p w14:paraId="68A6947D">
      <w:pPr>
        <w:pStyle w:val="5"/>
        <w:kinsoku/>
        <w:spacing w:before="0" w:after="0" w:line="48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5.比选文件的获取</w:t>
      </w:r>
    </w:p>
    <w:p w14:paraId="10F9B76F">
      <w:pPr>
        <w:kinsoku/>
        <w:spacing w:line="480" w:lineRule="exact"/>
        <w:ind w:right="3" w:firstLine="426" w:firstLineChars="209"/>
        <w:jc w:val="both"/>
        <w:rPr>
          <w:rFonts w:ascii="宋体" w:hAnsi="宋体" w:eastAsia="宋体" w:cs="宋体"/>
          <w:color w:val="auto"/>
          <w:spacing w:val="-3"/>
        </w:rPr>
      </w:pPr>
      <w:bookmarkStart w:id="23" w:name="_Toc509481750"/>
      <w:bookmarkStart w:id="24" w:name="_Toc508711582"/>
      <w:bookmarkStart w:id="25" w:name="_Toc509847601"/>
      <w:r>
        <w:rPr>
          <w:rFonts w:hint="eastAsia" w:ascii="宋体" w:hAnsi="宋体" w:eastAsia="宋体" w:cs="宋体"/>
          <w:color w:val="auto"/>
          <w:spacing w:val="-3"/>
        </w:rPr>
        <w:t>5.1 凡有意参加比选申请者，请于</w:t>
      </w:r>
      <w:bookmarkStart w:id="26" w:name="OLE_LINK1"/>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25</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27</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w:t>
      </w:r>
      <w:bookmarkEnd w:id="26"/>
      <w:r>
        <w:rPr>
          <w:rFonts w:hint="eastAsia" w:ascii="宋体" w:hAnsi="宋体" w:eastAsia="宋体" w:cs="宋体"/>
          <w:color w:val="auto"/>
          <w:spacing w:val="-3"/>
        </w:rPr>
        <w:t>，在四川省川北高速公路股份有限公司(</w:t>
      </w:r>
      <w:r>
        <w:rPr>
          <w:rFonts w:ascii="宋体" w:hAnsi="宋体" w:eastAsia="宋体" w:cs="宋体"/>
          <w:color w:val="auto"/>
          <w:spacing w:val="-3"/>
        </w:rPr>
        <w:t>h</w:t>
      </w:r>
      <w:r>
        <w:rPr>
          <w:rFonts w:hint="eastAsia" w:ascii="宋体" w:hAnsi="宋体" w:eastAsia="宋体" w:cs="宋体"/>
          <w:color w:val="auto"/>
          <w:spacing w:val="-3"/>
        </w:rPr>
        <w:t>ttps://cbgs.scgs.com.cn/)免费匿名下载比选文件。比选人不提供其他任何报名和比选文件获取的方式。</w:t>
      </w:r>
    </w:p>
    <w:p w14:paraId="0BFABB02">
      <w:pPr>
        <w:kinsoku/>
        <w:spacing w:line="480" w:lineRule="exact"/>
        <w:ind w:right="3" w:firstLine="426" w:firstLineChars="209"/>
        <w:jc w:val="both"/>
        <w:rPr>
          <w:rFonts w:ascii="宋体" w:hAnsi="宋体" w:eastAsia="宋体" w:cs="宋体"/>
          <w:b/>
          <w:bCs/>
          <w:color w:val="auto"/>
          <w:spacing w:val="-7"/>
        </w:rPr>
      </w:pPr>
      <w:r>
        <w:rPr>
          <w:rFonts w:hint="eastAsia" w:ascii="宋体" w:hAnsi="宋体" w:eastAsia="宋体" w:cs="宋体"/>
          <w:color w:val="auto"/>
          <w:spacing w:val="-3"/>
        </w:rPr>
        <w:t>5.2 比选申请人应及时在上述网站下载有关内容，比选人不再另行通知。如有问题应及时与比选人联系，否则，造成的一切后果由比选申请人负责；如逾期未联系的，比选人视为收到或默认已收到。</w:t>
      </w:r>
    </w:p>
    <w:p w14:paraId="23DC5C7A">
      <w:pPr>
        <w:kinsoku/>
        <w:spacing w:line="480" w:lineRule="exact"/>
        <w:ind w:firstLine="420"/>
        <w:rPr>
          <w:rFonts w:ascii="宋体" w:hAnsi="宋体" w:eastAsia="宋体" w:cs="宋体"/>
          <w:b/>
          <w:bCs/>
          <w:color w:val="auto"/>
          <w:spacing w:val="-7"/>
        </w:rPr>
      </w:pPr>
      <w:r>
        <w:rPr>
          <w:rFonts w:hint="eastAsia" w:ascii="宋体" w:hAnsi="宋体" w:eastAsia="宋体" w:cs="宋体"/>
          <w:b/>
          <w:bCs/>
          <w:color w:val="auto"/>
          <w:spacing w:val="-7"/>
        </w:rPr>
        <w:t>6 、比选申请文件的递交及相关事宜</w:t>
      </w:r>
    </w:p>
    <w:p w14:paraId="257C0A5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6.1 踏勘现场及预备会：</w:t>
      </w:r>
    </w:p>
    <w:p w14:paraId="6A650BE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比选人不组织现场踏勘及预备会议。比选申请人需自行安排进行现场踏勘的，须告知比选人同意后方可进行,并自行承担考察费用及安全责任。</w:t>
      </w:r>
    </w:p>
    <w:p w14:paraId="690404F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6.2 比选申请文件的送交：</w:t>
      </w:r>
    </w:p>
    <w:p w14:paraId="5ABD337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比选申请文件送交的时间为</w:t>
      </w:r>
      <w:bookmarkStart w:id="27" w:name="OLE_LINK3"/>
      <w:bookmarkStart w:id="28" w:name="OLE_LINK2"/>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30</w:t>
      </w:r>
      <w:r>
        <w:rPr>
          <w:rFonts w:ascii="宋体" w:hAnsi="宋体" w:eastAsia="宋体" w:cs="宋体"/>
          <w:color w:val="auto"/>
          <w:spacing w:val="-3"/>
          <w:u w:val="single"/>
        </w:rPr>
        <w:t xml:space="preserve">  </w:t>
      </w:r>
      <w:r>
        <w:rPr>
          <w:rFonts w:hint="eastAsia" w:ascii="宋体" w:hAnsi="宋体" w:eastAsia="宋体" w:cs="宋体"/>
          <w:color w:val="auto"/>
          <w:spacing w:val="-3"/>
        </w:rPr>
        <w:t>日</w:t>
      </w:r>
      <w:bookmarkEnd w:id="27"/>
      <w:r>
        <w:rPr>
          <w:rFonts w:hint="eastAsia" w:ascii="宋体" w:hAnsi="宋体" w:eastAsia="宋体" w:cs="宋体"/>
          <w:color w:val="auto"/>
          <w:spacing w:val="-3"/>
        </w:rPr>
        <w:t xml:space="preserve"> </w:t>
      </w:r>
      <w:r>
        <w:rPr>
          <w:rFonts w:ascii="宋体" w:hAnsi="宋体" w:eastAsia="宋体" w:cs="宋体"/>
          <w:color w:val="auto"/>
          <w:spacing w:val="-3"/>
        </w:rPr>
        <w:t>9</w:t>
      </w:r>
      <w:r>
        <w:rPr>
          <w:rFonts w:hint="eastAsia" w:ascii="宋体" w:hAnsi="宋体" w:eastAsia="宋体" w:cs="宋体"/>
          <w:color w:val="auto"/>
          <w:spacing w:val="-3"/>
        </w:rPr>
        <w:t>：</w:t>
      </w:r>
      <w:r>
        <w:rPr>
          <w:rFonts w:hint="eastAsia" w:ascii="宋体" w:hAnsi="宋体" w:eastAsia="宋体" w:cs="宋体"/>
          <w:color w:val="auto"/>
          <w:spacing w:val="-3"/>
          <w:lang w:val="en-US" w:eastAsia="zh-CN"/>
        </w:rPr>
        <w:t>40</w:t>
      </w:r>
      <w:r>
        <w:rPr>
          <w:rFonts w:hint="eastAsia" w:ascii="宋体" w:hAnsi="宋体" w:eastAsia="宋体" w:cs="宋体"/>
          <w:color w:val="auto"/>
          <w:spacing w:val="-3"/>
        </w:rPr>
        <w:t xml:space="preserve"> 时（北京时间）</w:t>
      </w:r>
      <w:bookmarkEnd w:id="28"/>
      <w:r>
        <w:rPr>
          <w:rFonts w:hint="eastAsia" w:ascii="宋体" w:hAnsi="宋体" w:eastAsia="宋体" w:cs="宋体"/>
          <w:color w:val="auto"/>
          <w:spacing w:val="-3"/>
        </w:rPr>
        <w:t xml:space="preserve">,截止时间为 </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30</w:t>
      </w:r>
      <w:r>
        <w:rPr>
          <w:rFonts w:ascii="宋体" w:hAnsi="宋体" w:eastAsia="宋体" w:cs="宋体"/>
          <w:color w:val="auto"/>
          <w:spacing w:val="-3"/>
          <w:u w:val="single"/>
        </w:rPr>
        <w:t xml:space="preserve">  </w:t>
      </w:r>
      <w:r>
        <w:rPr>
          <w:rFonts w:hint="eastAsia" w:ascii="宋体" w:hAnsi="宋体" w:eastAsia="宋体" w:cs="宋体"/>
          <w:color w:val="auto"/>
          <w:spacing w:val="-3"/>
        </w:rPr>
        <w:t>日</w:t>
      </w:r>
      <w:r>
        <w:rPr>
          <w:rFonts w:ascii="宋体" w:hAnsi="宋体" w:eastAsia="宋体" w:cs="宋体"/>
          <w:color w:val="auto"/>
          <w:spacing w:val="-3"/>
        </w:rPr>
        <w:t>10</w:t>
      </w:r>
      <w:r>
        <w:rPr>
          <w:rFonts w:hint="eastAsia" w:ascii="宋体" w:hAnsi="宋体" w:eastAsia="宋体" w:cs="宋体"/>
          <w:color w:val="auto"/>
          <w:spacing w:val="-3"/>
        </w:rPr>
        <w:t>：</w:t>
      </w:r>
      <w:r>
        <w:rPr>
          <w:rFonts w:ascii="宋体" w:hAnsi="宋体" w:eastAsia="宋体" w:cs="宋体"/>
          <w:color w:val="auto"/>
          <w:spacing w:val="-3"/>
        </w:rPr>
        <w:t>00</w:t>
      </w:r>
      <w:r>
        <w:rPr>
          <w:rFonts w:hint="eastAsia" w:ascii="宋体" w:hAnsi="宋体" w:eastAsia="宋体" w:cs="宋体"/>
          <w:color w:val="auto"/>
          <w:spacing w:val="-3"/>
        </w:rPr>
        <w:t xml:space="preserve"> 时（北京时间）,比选申请人必须将按要求密封完好的比选申请文件以面交方式送达： 四川省川北高速公路股份有限公司绵阳管理处 （绵阳管理处 3</w:t>
      </w:r>
      <w:r>
        <w:rPr>
          <w:rFonts w:ascii="宋体" w:hAnsi="宋体" w:eastAsia="宋体" w:cs="宋体"/>
          <w:color w:val="auto"/>
          <w:spacing w:val="-3"/>
        </w:rPr>
        <w:t xml:space="preserve"> </w:t>
      </w:r>
      <w:r>
        <w:rPr>
          <w:rFonts w:hint="eastAsia" w:ascii="宋体" w:hAnsi="宋体" w:eastAsia="宋体" w:cs="宋体"/>
          <w:color w:val="auto"/>
          <w:spacing w:val="-3"/>
        </w:rPr>
        <w:t>楼会议室）。比选人定于比选申请文件送交截止时间的同一时间、同一地点举行公开开标，比选申请人应派代表出席并签认开标结果。</w:t>
      </w:r>
    </w:p>
    <w:p w14:paraId="760644D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6.3 逾期送达的或者未送达指定地点的或者未按要求密封的比选申请文件，比选人不予受理。</w:t>
      </w:r>
    </w:p>
    <w:p w14:paraId="39D7E12D">
      <w:pPr>
        <w:kinsoku/>
        <w:spacing w:line="480" w:lineRule="exact"/>
        <w:ind w:right="3" w:firstLine="428" w:firstLineChars="209"/>
        <w:jc w:val="both"/>
        <w:rPr>
          <w:rFonts w:ascii="宋体" w:hAnsi="宋体" w:eastAsia="宋体" w:cs="宋体"/>
          <w:b/>
          <w:bCs/>
          <w:color w:val="auto"/>
          <w:spacing w:val="-3"/>
        </w:rPr>
      </w:pPr>
      <w:r>
        <w:rPr>
          <w:rFonts w:hint="eastAsia" w:ascii="宋体" w:hAnsi="宋体" w:eastAsia="宋体" w:cs="宋体"/>
          <w:b/>
          <w:bCs/>
          <w:color w:val="auto"/>
          <w:spacing w:val="-3"/>
        </w:rPr>
        <w:t>7.发布公告的媒介</w:t>
      </w:r>
    </w:p>
    <w:p w14:paraId="309D75D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本次比选公告在在四川省川北高速公路股份有限公司网站（https://cbgs.scgs.com.cn/）上发布。</w:t>
      </w:r>
    </w:p>
    <w:p w14:paraId="2FFF9B7E">
      <w:pPr>
        <w:kinsoku/>
        <w:spacing w:line="480" w:lineRule="exact"/>
        <w:ind w:left="439" w:leftChars="209" w:right="3"/>
        <w:jc w:val="both"/>
        <w:rPr>
          <w:rFonts w:ascii="宋体" w:hAnsi="宋体" w:eastAsia="宋体" w:cs="宋体"/>
          <w:b/>
          <w:bCs/>
          <w:color w:val="auto"/>
          <w:spacing w:val="-3"/>
        </w:rPr>
      </w:pPr>
      <w:r>
        <w:rPr>
          <w:rFonts w:hint="eastAsia" w:ascii="宋体" w:hAnsi="宋体" w:eastAsia="宋体" w:cs="宋体"/>
          <w:b/>
          <w:bCs/>
          <w:color w:val="auto"/>
          <w:spacing w:val="-3"/>
        </w:rPr>
        <w:t>8、</w:t>
      </w:r>
      <w:r>
        <w:rPr>
          <w:rFonts w:ascii="宋体" w:hAnsi="宋体" w:eastAsia="宋体" w:cs="宋体"/>
          <w:b/>
          <w:bCs/>
          <w:color w:val="auto"/>
          <w:spacing w:val="-3"/>
        </w:rPr>
        <w:t>比选工作将公开接受社会监督</w:t>
      </w:r>
    </w:p>
    <w:p w14:paraId="628954BD">
      <w:pPr>
        <w:kinsoku/>
        <w:spacing w:line="480" w:lineRule="exact"/>
        <w:ind w:right="3" w:firstLine="408" w:firstLineChars="200"/>
        <w:jc w:val="both"/>
        <w:rPr>
          <w:rFonts w:ascii="宋体" w:hAnsi="宋体" w:eastAsia="宋体" w:cs="宋体"/>
          <w:color w:val="auto"/>
          <w:spacing w:val="-3"/>
        </w:rPr>
      </w:pPr>
      <w:r>
        <w:rPr>
          <w:rFonts w:ascii="宋体" w:hAnsi="宋体" w:eastAsia="宋体" w:cs="宋体"/>
          <w:color w:val="auto"/>
          <w:spacing w:val="-3"/>
        </w:rPr>
        <w:t>比选结果公示：比选人在比选评审后3日内，将评审结果即评审委员会推荐的前三名中选候选人名单在四川省川北高速公路股份有限公司网站（https://cbgs.scgs.com.cn/）上公示</w:t>
      </w:r>
      <w:r>
        <w:rPr>
          <w:rFonts w:hint="eastAsia" w:ascii="宋体" w:hAnsi="宋体" w:eastAsia="宋体" w:cs="宋体"/>
          <w:color w:val="auto"/>
          <w:spacing w:val="-3"/>
        </w:rPr>
        <w:t xml:space="preserve"> </w:t>
      </w:r>
      <w:r>
        <w:rPr>
          <w:rFonts w:ascii="宋体" w:hAnsi="宋体" w:eastAsia="宋体" w:cs="宋体"/>
          <w:color w:val="auto"/>
          <w:spacing w:val="-3"/>
        </w:rPr>
        <w:t>3 个工作日以接受社会公开监督。比选申请人或者其他利害关系人对评审结果有异议的，应当在中选候选人公示期间提出。</w:t>
      </w:r>
    </w:p>
    <w:bookmarkEnd w:id="23"/>
    <w:bookmarkEnd w:id="24"/>
    <w:bookmarkEnd w:id="25"/>
    <w:p w14:paraId="00A12F05">
      <w:pPr>
        <w:pStyle w:val="24"/>
        <w:spacing w:after="0" w:line="480" w:lineRule="exact"/>
        <w:ind w:left="0" w:leftChars="0" w:firstLine="422"/>
        <w:rPr>
          <w:rFonts w:ascii="宋体" w:hAnsi="宋体" w:eastAsia="宋体" w:cs="宋体"/>
          <w:b/>
          <w:color w:val="auto"/>
        </w:rPr>
      </w:pPr>
      <w:r>
        <w:rPr>
          <w:rFonts w:hint="eastAsia" w:ascii="宋体" w:hAnsi="宋体" w:eastAsia="宋体" w:cs="宋体"/>
          <w:b/>
          <w:color w:val="auto"/>
        </w:rPr>
        <w:t>9 、联系方式</w:t>
      </w:r>
    </w:p>
    <w:p w14:paraId="04B604B8">
      <w:pPr>
        <w:kinsoku/>
        <w:spacing w:line="480" w:lineRule="exact"/>
        <w:ind w:right="3" w:firstLine="426" w:firstLineChars="209"/>
        <w:jc w:val="both"/>
        <w:rPr>
          <w:rFonts w:ascii="宋体" w:hAnsi="宋体" w:eastAsia="宋体" w:cs="宋体"/>
          <w:color w:val="auto"/>
          <w:spacing w:val="-3"/>
          <w:u w:val="single"/>
        </w:rPr>
      </w:pPr>
      <w:r>
        <w:rPr>
          <w:rFonts w:hint="eastAsia" w:ascii="宋体" w:hAnsi="宋体" w:eastAsia="宋体" w:cs="宋体"/>
          <w:color w:val="auto"/>
          <w:spacing w:val="-3"/>
        </w:rPr>
        <w:t>比选人：四川高速公路建设开发集团有限公司成都分公司</w:t>
      </w:r>
    </w:p>
    <w:p w14:paraId="77C98AE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网  址：https://cbgs.scgs.com.cn/</w:t>
      </w:r>
    </w:p>
    <w:p w14:paraId="32A4737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地  址：四川省川北高速公路股份有限公司绵阳管理处（绵阳管理处综合办公室）</w:t>
      </w:r>
    </w:p>
    <w:p w14:paraId="5C14694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电  话：黄先生</w:t>
      </w:r>
    </w:p>
    <w:p w14:paraId="369B258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联系人：0</w:t>
      </w:r>
      <w:r>
        <w:rPr>
          <w:rFonts w:ascii="宋体" w:hAnsi="宋体" w:eastAsia="宋体" w:cs="宋体"/>
          <w:color w:val="auto"/>
          <w:spacing w:val="-3"/>
        </w:rPr>
        <w:t>816-2640867</w:t>
      </w:r>
      <w:r>
        <w:rPr>
          <w:rFonts w:hint="eastAsia" w:ascii="宋体" w:hAnsi="宋体" w:eastAsia="宋体" w:cs="宋体"/>
          <w:color w:val="auto"/>
          <w:spacing w:val="-3"/>
        </w:rPr>
        <w:t xml:space="preserve">  13</w:t>
      </w:r>
      <w:r>
        <w:rPr>
          <w:rFonts w:ascii="宋体" w:hAnsi="宋体" w:eastAsia="宋体" w:cs="宋体"/>
          <w:color w:val="auto"/>
          <w:spacing w:val="-3"/>
        </w:rPr>
        <w:t>689697737</w:t>
      </w:r>
    </w:p>
    <w:p w14:paraId="182067B9">
      <w:pPr>
        <w:kinsoku/>
        <w:spacing w:line="480" w:lineRule="exact"/>
        <w:ind w:right="3" w:firstLine="426" w:firstLineChars="209"/>
        <w:jc w:val="right"/>
        <w:rPr>
          <w:rFonts w:ascii="宋体" w:hAnsi="宋体" w:eastAsia="宋体" w:cs="宋体"/>
          <w:color w:val="auto"/>
          <w:spacing w:val="-3"/>
        </w:rPr>
      </w:pPr>
      <w:r>
        <w:rPr>
          <w:rFonts w:hint="eastAsia" w:ascii="宋体" w:hAnsi="宋体" w:eastAsia="宋体" w:cs="宋体"/>
          <w:color w:val="auto"/>
          <w:spacing w:val="-3"/>
        </w:rPr>
        <w:t>比选人：四川高速公路建设开发集团有限公司成都分公司</w:t>
      </w:r>
    </w:p>
    <w:p w14:paraId="48094AB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 xml:space="preserve">                                            </w:t>
      </w:r>
      <w:r>
        <w:rPr>
          <w:rFonts w:ascii="宋体" w:hAnsi="宋体" w:eastAsia="宋体" w:cs="宋体"/>
          <w:color w:val="auto"/>
          <w:spacing w:val="-3"/>
        </w:rPr>
        <w:t xml:space="preserve">2025 </w:t>
      </w:r>
      <w:r>
        <w:rPr>
          <w:rFonts w:hint="eastAsia" w:ascii="宋体" w:hAnsi="宋体" w:eastAsia="宋体" w:cs="宋体"/>
          <w:color w:val="auto"/>
          <w:spacing w:val="-3"/>
        </w:rPr>
        <w:t xml:space="preserve">年 </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6</w:t>
      </w:r>
      <w:r>
        <w:rPr>
          <w:rFonts w:ascii="宋体" w:hAnsi="宋体" w:eastAsia="宋体" w:cs="宋体"/>
          <w:color w:val="auto"/>
          <w:spacing w:val="-3"/>
        </w:rPr>
        <w:t xml:space="preserve">  </w:t>
      </w:r>
      <w:r>
        <w:rPr>
          <w:rFonts w:hint="eastAsia" w:ascii="宋体" w:hAnsi="宋体" w:eastAsia="宋体" w:cs="宋体"/>
          <w:color w:val="auto"/>
          <w:spacing w:val="-3"/>
        </w:rPr>
        <w:t xml:space="preserve">月 </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25</w:t>
      </w:r>
      <w:r>
        <w:rPr>
          <w:rFonts w:ascii="宋体" w:hAnsi="宋体" w:eastAsia="宋体" w:cs="宋体"/>
          <w:color w:val="auto"/>
          <w:spacing w:val="-3"/>
        </w:rPr>
        <w:t xml:space="preserve"> </w:t>
      </w:r>
      <w:r>
        <w:rPr>
          <w:rFonts w:hint="eastAsia" w:ascii="宋体" w:hAnsi="宋体" w:eastAsia="宋体" w:cs="宋体"/>
          <w:color w:val="auto"/>
          <w:spacing w:val="-3"/>
        </w:rPr>
        <w:t xml:space="preserve"> 日</w:t>
      </w:r>
    </w:p>
    <w:p w14:paraId="78378A15">
      <w:pPr>
        <w:pStyle w:val="8"/>
      </w:pPr>
    </w:p>
    <w:p w14:paraId="490D7C56">
      <w:pPr>
        <w:spacing w:line="720" w:lineRule="exact"/>
        <w:jc w:val="both"/>
        <w:rPr>
          <w:rFonts w:ascii="黑体" w:hAnsi="黑体" w:eastAsia="黑体" w:cs="黑体"/>
          <w:sz w:val="44"/>
          <w:szCs w:val="44"/>
        </w:rPr>
      </w:pPr>
    </w:p>
    <w:p w14:paraId="747204C0">
      <w:pPr>
        <w:spacing w:line="720" w:lineRule="exact"/>
        <w:jc w:val="both"/>
        <w:rPr>
          <w:rFonts w:ascii="黑体" w:hAnsi="黑体" w:eastAsia="黑体" w:cs="黑体"/>
          <w:sz w:val="44"/>
          <w:szCs w:val="44"/>
        </w:rPr>
      </w:pPr>
    </w:p>
    <w:p w14:paraId="2DB751C2">
      <w:pPr>
        <w:spacing w:line="720" w:lineRule="exact"/>
        <w:jc w:val="both"/>
        <w:rPr>
          <w:rFonts w:ascii="黑体" w:hAnsi="黑体" w:eastAsia="黑体" w:cs="黑体"/>
          <w:sz w:val="44"/>
          <w:szCs w:val="44"/>
        </w:rPr>
      </w:pPr>
    </w:p>
    <w:p w14:paraId="7D46BF94">
      <w:pPr>
        <w:spacing w:line="720" w:lineRule="exact"/>
        <w:jc w:val="both"/>
        <w:rPr>
          <w:rFonts w:ascii="黑体" w:hAnsi="黑体" w:eastAsia="黑体" w:cs="黑体"/>
          <w:sz w:val="44"/>
          <w:szCs w:val="44"/>
        </w:rPr>
      </w:pPr>
    </w:p>
    <w:p w14:paraId="46EF498C">
      <w:pPr>
        <w:pStyle w:val="2"/>
      </w:pPr>
    </w:p>
    <w:p w14:paraId="14C57DDF">
      <w:pPr>
        <w:rPr>
          <w:rFonts w:eastAsiaTheme="minorEastAsia"/>
        </w:rPr>
      </w:pPr>
    </w:p>
    <w:p w14:paraId="458E806F">
      <w:pPr>
        <w:pStyle w:val="2"/>
      </w:pPr>
    </w:p>
    <w:p w14:paraId="792613AF">
      <w:pPr>
        <w:spacing w:line="720" w:lineRule="exact"/>
        <w:jc w:val="center"/>
        <w:outlineLvl w:val="0"/>
        <w:rPr>
          <w:rFonts w:ascii="黑体" w:hAnsi="黑体" w:eastAsia="黑体" w:cs="黑体"/>
          <w:sz w:val="44"/>
          <w:szCs w:val="44"/>
        </w:rPr>
      </w:pPr>
      <w:bookmarkStart w:id="29" w:name="_Toc17040"/>
      <w:r>
        <w:rPr>
          <w:rFonts w:hint="eastAsia" w:ascii="黑体" w:hAnsi="黑体" w:eastAsia="黑体" w:cs="黑体"/>
          <w:sz w:val="44"/>
          <w:szCs w:val="44"/>
        </w:rPr>
        <w:t>第二章 比选申请人须知</w:t>
      </w:r>
      <w:bookmarkEnd w:id="29"/>
    </w:p>
    <w:p w14:paraId="47ECDEC4">
      <w:pPr>
        <w:spacing w:line="720" w:lineRule="exact"/>
        <w:rPr>
          <w:rFonts w:ascii="黑体" w:hAnsi="黑体" w:eastAsia="黑体" w:cs="黑体"/>
          <w:sz w:val="44"/>
          <w:szCs w:val="44"/>
        </w:rPr>
      </w:pPr>
    </w:p>
    <w:p w14:paraId="41D011A7">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一、比选申请人须知前附表</w:t>
      </w:r>
    </w:p>
    <w:p w14:paraId="7BE076C4">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二、比选申请人须知</w:t>
      </w:r>
    </w:p>
    <w:p w14:paraId="2CA9E6C8">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三、资格审查条件</w:t>
      </w:r>
    </w:p>
    <w:p w14:paraId="21CD901C">
      <w:pPr>
        <w:spacing w:line="219" w:lineRule="auto"/>
        <w:rPr>
          <w:rFonts w:ascii="宋体" w:hAnsi="宋体" w:eastAsia="宋体" w:cs="宋体"/>
          <w:sz w:val="30"/>
          <w:szCs w:val="30"/>
        </w:rPr>
      </w:pPr>
    </w:p>
    <w:p w14:paraId="7550B388">
      <w:pPr>
        <w:spacing w:line="219" w:lineRule="auto"/>
        <w:rPr>
          <w:rFonts w:ascii="宋体" w:hAnsi="宋体" w:eastAsia="宋体" w:cs="宋体"/>
          <w:sz w:val="30"/>
          <w:szCs w:val="30"/>
        </w:rPr>
      </w:pPr>
    </w:p>
    <w:p w14:paraId="1DEF5754">
      <w:pPr>
        <w:spacing w:line="219" w:lineRule="auto"/>
        <w:rPr>
          <w:rFonts w:ascii="宋体" w:hAnsi="宋体" w:eastAsia="宋体" w:cs="宋体"/>
          <w:sz w:val="30"/>
          <w:szCs w:val="30"/>
        </w:rPr>
      </w:pPr>
    </w:p>
    <w:p w14:paraId="2688ECC9">
      <w:pPr>
        <w:spacing w:line="219" w:lineRule="auto"/>
        <w:rPr>
          <w:rFonts w:ascii="宋体" w:hAnsi="宋体" w:eastAsia="宋体" w:cs="宋体"/>
          <w:sz w:val="30"/>
          <w:szCs w:val="30"/>
        </w:rPr>
      </w:pPr>
    </w:p>
    <w:p w14:paraId="39EF283F">
      <w:pPr>
        <w:spacing w:line="219" w:lineRule="auto"/>
        <w:rPr>
          <w:rFonts w:ascii="宋体" w:hAnsi="宋体" w:eastAsia="宋体" w:cs="宋体"/>
          <w:sz w:val="30"/>
          <w:szCs w:val="30"/>
        </w:rPr>
      </w:pPr>
    </w:p>
    <w:p w14:paraId="64B9F3DF">
      <w:pPr>
        <w:spacing w:line="219" w:lineRule="auto"/>
        <w:rPr>
          <w:rFonts w:ascii="宋体" w:hAnsi="宋体" w:eastAsia="宋体" w:cs="宋体"/>
          <w:sz w:val="30"/>
          <w:szCs w:val="30"/>
        </w:rPr>
      </w:pPr>
    </w:p>
    <w:p w14:paraId="6F9485F5">
      <w:pPr>
        <w:spacing w:line="219" w:lineRule="auto"/>
        <w:rPr>
          <w:rFonts w:ascii="宋体" w:hAnsi="宋体" w:eastAsia="宋体" w:cs="宋体"/>
          <w:sz w:val="30"/>
          <w:szCs w:val="30"/>
        </w:rPr>
      </w:pPr>
    </w:p>
    <w:p w14:paraId="34417E89">
      <w:pPr>
        <w:pStyle w:val="8"/>
        <w:rPr>
          <w:rFonts w:cs="宋体"/>
          <w:sz w:val="30"/>
          <w:szCs w:val="30"/>
        </w:rPr>
      </w:pPr>
    </w:p>
    <w:p w14:paraId="3A5CE372">
      <w:pPr>
        <w:rPr>
          <w:rFonts w:ascii="宋体" w:hAnsi="宋体" w:eastAsia="宋体" w:cs="宋体"/>
          <w:sz w:val="30"/>
          <w:szCs w:val="30"/>
        </w:rPr>
      </w:pPr>
    </w:p>
    <w:p w14:paraId="02E5406D">
      <w:pPr>
        <w:pStyle w:val="8"/>
        <w:rPr>
          <w:rFonts w:cs="宋体"/>
          <w:sz w:val="30"/>
          <w:szCs w:val="30"/>
        </w:rPr>
      </w:pPr>
    </w:p>
    <w:p w14:paraId="4D784E85">
      <w:pPr>
        <w:rPr>
          <w:rFonts w:ascii="宋体" w:hAnsi="宋体" w:eastAsia="宋体" w:cs="宋体"/>
          <w:sz w:val="30"/>
          <w:szCs w:val="30"/>
        </w:rPr>
      </w:pPr>
    </w:p>
    <w:p w14:paraId="148CE1E2">
      <w:pPr>
        <w:pStyle w:val="8"/>
        <w:rPr>
          <w:rFonts w:cs="宋体"/>
          <w:sz w:val="30"/>
          <w:szCs w:val="30"/>
        </w:rPr>
      </w:pPr>
    </w:p>
    <w:p w14:paraId="109BE9E4"/>
    <w:p w14:paraId="619451C3">
      <w:pPr>
        <w:rPr>
          <w:rFonts w:ascii="宋体" w:hAnsi="宋体" w:eastAsia="宋体" w:cs="宋体"/>
          <w:sz w:val="30"/>
          <w:szCs w:val="30"/>
        </w:rPr>
      </w:pPr>
    </w:p>
    <w:p w14:paraId="6E590607">
      <w:pPr>
        <w:pStyle w:val="2"/>
      </w:pPr>
    </w:p>
    <w:p w14:paraId="594BAE6A">
      <w:pPr>
        <w:rPr>
          <w:rFonts w:eastAsiaTheme="minorEastAsia"/>
        </w:rPr>
      </w:pPr>
    </w:p>
    <w:p w14:paraId="6EAE62FA">
      <w:pPr>
        <w:pStyle w:val="8"/>
        <w:rPr>
          <w:rFonts w:cs="宋体"/>
          <w:sz w:val="30"/>
          <w:szCs w:val="30"/>
        </w:rPr>
      </w:pPr>
    </w:p>
    <w:p w14:paraId="7AF8D64B">
      <w:pPr>
        <w:pStyle w:val="4"/>
        <w:spacing w:line="360" w:lineRule="auto"/>
        <w:jc w:val="center"/>
      </w:pPr>
      <w:bookmarkStart w:id="30" w:name="_Toc23314"/>
      <w:bookmarkStart w:id="31" w:name="_Toc29092"/>
      <w:r>
        <w:rPr>
          <w:rFonts w:hint="eastAsia" w:ascii="宋体" w:eastAsia="宋体"/>
        </w:rPr>
        <w:t>一、比选申请人须知前附表</w:t>
      </w:r>
      <w:bookmarkEnd w:id="30"/>
      <w:bookmarkEnd w:id="31"/>
      <w:bookmarkStart w:id="124" w:name="_GoBack"/>
      <w:bookmarkEnd w:id="124"/>
    </w:p>
    <w:tbl>
      <w:tblPr>
        <w:tblStyle w:val="2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58"/>
        <w:gridCol w:w="6505"/>
      </w:tblGrid>
      <w:tr w14:paraId="5A4F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9" w:type="dxa"/>
            <w:vAlign w:val="center"/>
          </w:tcPr>
          <w:p w14:paraId="6B908E72">
            <w:pPr>
              <w:spacing w:line="400" w:lineRule="exact"/>
              <w:ind w:right="-358"/>
              <w:rPr>
                <w:rFonts w:ascii="宋体" w:hAnsi="宋体" w:eastAsia="宋体" w:cs="宋体"/>
              </w:rPr>
            </w:pPr>
            <w:r>
              <w:rPr>
                <w:rFonts w:hint="eastAsia" w:ascii="宋体" w:hAnsi="宋体" w:eastAsia="宋体" w:cs="宋体"/>
              </w:rPr>
              <w:t>条款号</w:t>
            </w:r>
          </w:p>
        </w:tc>
        <w:tc>
          <w:tcPr>
            <w:tcW w:w="1858" w:type="dxa"/>
            <w:vAlign w:val="center"/>
          </w:tcPr>
          <w:p w14:paraId="334AFEF4">
            <w:pPr>
              <w:spacing w:line="400" w:lineRule="exact"/>
              <w:jc w:val="center"/>
              <w:rPr>
                <w:rFonts w:ascii="宋体" w:hAnsi="宋体" w:eastAsia="宋体" w:cs="宋体"/>
              </w:rPr>
            </w:pPr>
            <w:r>
              <w:rPr>
                <w:rFonts w:hint="eastAsia" w:ascii="宋体" w:hAnsi="宋体" w:eastAsia="宋体" w:cs="宋体"/>
              </w:rPr>
              <w:t>条款名称</w:t>
            </w:r>
          </w:p>
        </w:tc>
        <w:tc>
          <w:tcPr>
            <w:tcW w:w="6505" w:type="dxa"/>
            <w:vAlign w:val="center"/>
          </w:tcPr>
          <w:p w14:paraId="44E49225">
            <w:pPr>
              <w:spacing w:line="360" w:lineRule="exact"/>
              <w:jc w:val="center"/>
              <w:rPr>
                <w:rFonts w:ascii="宋体" w:hAnsi="宋体" w:eastAsia="宋体" w:cs="宋体"/>
              </w:rPr>
            </w:pPr>
            <w:r>
              <w:rPr>
                <w:rFonts w:hint="eastAsia" w:ascii="宋体" w:hAnsi="宋体" w:eastAsia="宋体" w:cs="宋体"/>
              </w:rPr>
              <w:t>说明要求</w:t>
            </w:r>
          </w:p>
        </w:tc>
      </w:tr>
      <w:tr w14:paraId="2C76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9" w:type="dxa"/>
            <w:vAlign w:val="center"/>
          </w:tcPr>
          <w:p w14:paraId="73B7F6EA">
            <w:pPr>
              <w:spacing w:line="400" w:lineRule="exact"/>
              <w:jc w:val="center"/>
              <w:rPr>
                <w:rFonts w:ascii="宋体" w:hAnsi="宋体" w:eastAsia="宋体" w:cs="宋体"/>
              </w:rPr>
            </w:pPr>
            <w:r>
              <w:rPr>
                <w:rFonts w:hint="eastAsia" w:ascii="宋体" w:hAnsi="宋体" w:eastAsia="宋体" w:cs="宋体"/>
              </w:rPr>
              <w:t>1</w:t>
            </w:r>
          </w:p>
        </w:tc>
        <w:tc>
          <w:tcPr>
            <w:tcW w:w="1858" w:type="dxa"/>
            <w:vAlign w:val="center"/>
          </w:tcPr>
          <w:p w14:paraId="01EDAF52">
            <w:pPr>
              <w:spacing w:line="400" w:lineRule="exact"/>
              <w:jc w:val="center"/>
              <w:rPr>
                <w:rFonts w:ascii="宋体" w:hAnsi="宋体" w:eastAsia="宋体" w:cs="宋体"/>
              </w:rPr>
            </w:pPr>
            <w:r>
              <w:rPr>
                <w:rFonts w:hint="eastAsia" w:ascii="宋体" w:hAnsi="宋体" w:eastAsia="宋体" w:cs="宋体"/>
              </w:rPr>
              <w:t>比选人</w:t>
            </w:r>
          </w:p>
        </w:tc>
        <w:tc>
          <w:tcPr>
            <w:tcW w:w="6505" w:type="dxa"/>
            <w:vAlign w:val="center"/>
          </w:tcPr>
          <w:p w14:paraId="10F55121">
            <w:pPr>
              <w:spacing w:line="360" w:lineRule="exact"/>
              <w:rPr>
                <w:rFonts w:ascii="宋体" w:hAnsi="宋体" w:eastAsia="宋体" w:cs="宋体"/>
                <w:bCs/>
              </w:rPr>
            </w:pPr>
            <w:r>
              <w:rPr>
                <w:rFonts w:hint="eastAsia" w:ascii="宋体" w:hAnsi="宋体" w:eastAsia="宋体" w:cs="宋体"/>
                <w:color w:val="auto"/>
                <w:spacing w:val="-3"/>
              </w:rPr>
              <w:t>四川高速公路建设开发集团有限公司成都分公司</w:t>
            </w:r>
          </w:p>
        </w:tc>
      </w:tr>
      <w:tr w14:paraId="015E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vAlign w:val="center"/>
          </w:tcPr>
          <w:p w14:paraId="199E01CA">
            <w:pPr>
              <w:spacing w:line="400" w:lineRule="exact"/>
              <w:jc w:val="center"/>
              <w:rPr>
                <w:rFonts w:ascii="宋体" w:hAnsi="宋体" w:eastAsia="宋体" w:cs="宋体"/>
              </w:rPr>
            </w:pPr>
            <w:r>
              <w:rPr>
                <w:rFonts w:hint="eastAsia" w:ascii="宋体" w:hAnsi="宋体" w:eastAsia="宋体" w:cs="宋体"/>
              </w:rPr>
              <w:t>2</w:t>
            </w:r>
          </w:p>
        </w:tc>
        <w:tc>
          <w:tcPr>
            <w:tcW w:w="1858" w:type="dxa"/>
            <w:vAlign w:val="center"/>
          </w:tcPr>
          <w:p w14:paraId="4406332D">
            <w:pPr>
              <w:spacing w:line="400" w:lineRule="exact"/>
              <w:jc w:val="center"/>
              <w:rPr>
                <w:rFonts w:ascii="宋体" w:hAnsi="宋体" w:eastAsia="宋体" w:cs="宋体"/>
              </w:rPr>
            </w:pPr>
            <w:r>
              <w:rPr>
                <w:rFonts w:hint="eastAsia" w:ascii="宋体" w:hAnsi="宋体" w:eastAsia="宋体" w:cs="宋体"/>
              </w:rPr>
              <w:t>项目名称</w:t>
            </w:r>
          </w:p>
          <w:p w14:paraId="6F1901DD">
            <w:pPr>
              <w:spacing w:line="400" w:lineRule="exact"/>
              <w:jc w:val="center"/>
              <w:rPr>
                <w:rFonts w:ascii="宋体" w:hAnsi="宋体" w:eastAsia="宋体" w:cs="宋体"/>
              </w:rPr>
            </w:pPr>
            <w:r>
              <w:rPr>
                <w:rFonts w:hint="eastAsia" w:ascii="宋体" w:hAnsi="宋体" w:eastAsia="宋体" w:cs="宋体"/>
              </w:rPr>
              <w:t>及地点</w:t>
            </w:r>
          </w:p>
        </w:tc>
        <w:tc>
          <w:tcPr>
            <w:tcW w:w="6505" w:type="dxa"/>
            <w:vAlign w:val="center"/>
          </w:tcPr>
          <w:p w14:paraId="500CF580">
            <w:pPr>
              <w:spacing w:line="360" w:lineRule="exact"/>
              <w:jc w:val="both"/>
              <w:rPr>
                <w:rFonts w:hint="eastAsia" w:ascii="宋体" w:hAnsi="宋体" w:eastAsia="宋体" w:cs="宋体"/>
                <w:color w:val="auto"/>
                <w:u w:val="single"/>
                <w:lang w:eastAsia="zh-CN"/>
              </w:rPr>
            </w:pPr>
            <w:r>
              <w:rPr>
                <w:rFonts w:hint="eastAsia" w:ascii="宋体" w:hAnsi="宋体" w:eastAsia="宋体" w:cs="宋体"/>
                <w:color w:val="auto"/>
              </w:rPr>
              <w:t>项目名称：</w:t>
            </w:r>
            <w:r>
              <w:rPr>
                <w:rFonts w:hint="eastAsia" w:ascii="宋体" w:hAnsi="宋体" w:eastAsia="宋体" w:cs="宋体"/>
                <w:color w:val="auto"/>
                <w:spacing w:val="-3"/>
                <w:u w:val="single"/>
              </w:rPr>
              <w:t>绵阳管理处沿线职工食堂2025年度食材采购项目</w:t>
            </w:r>
            <w:r>
              <w:rPr>
                <w:rFonts w:hint="eastAsia" w:ascii="宋体" w:hAnsi="宋体" w:eastAsia="宋体" w:cs="宋体"/>
                <w:color w:val="auto"/>
                <w:spacing w:val="-3"/>
                <w:u w:val="single"/>
                <w:lang w:eastAsia="zh-CN"/>
              </w:rPr>
              <w:t>（</w:t>
            </w:r>
            <w:r>
              <w:rPr>
                <w:rFonts w:hint="eastAsia" w:ascii="宋体" w:hAnsi="宋体" w:eastAsia="宋体" w:cs="宋体"/>
                <w:color w:val="auto"/>
                <w:spacing w:val="-3"/>
                <w:u w:val="single"/>
                <w:lang w:val="en-US" w:eastAsia="zh-CN"/>
              </w:rPr>
              <w:t>第二次</w:t>
            </w:r>
            <w:r>
              <w:rPr>
                <w:rFonts w:hint="eastAsia" w:ascii="宋体" w:hAnsi="宋体" w:eastAsia="宋体" w:cs="宋体"/>
                <w:color w:val="auto"/>
                <w:spacing w:val="-3"/>
                <w:u w:val="single"/>
                <w:lang w:eastAsia="zh-CN"/>
              </w:rPr>
              <w:t>）</w:t>
            </w:r>
          </w:p>
          <w:p w14:paraId="1C83DA6A">
            <w:pPr>
              <w:spacing w:line="360" w:lineRule="exact"/>
              <w:rPr>
                <w:rFonts w:ascii="宋体" w:hAnsi="宋体" w:eastAsia="宋体" w:cs="宋体"/>
                <w:bCs/>
              </w:rPr>
            </w:pPr>
            <w:r>
              <w:rPr>
                <w:rFonts w:hint="eastAsia" w:ascii="宋体" w:hAnsi="宋体" w:eastAsia="宋体" w:cs="宋体"/>
                <w:color w:val="auto"/>
              </w:rPr>
              <w:t>服务地点：</w:t>
            </w:r>
            <w:r>
              <w:rPr>
                <w:rFonts w:hint="eastAsia" w:ascii="宋体" w:hAnsi="宋体" w:eastAsia="宋体" w:cs="宋体"/>
                <w:color w:val="auto"/>
                <w:u w:val="single"/>
              </w:rPr>
              <w:t xml:space="preserve"> </w:t>
            </w:r>
            <w:r>
              <w:rPr>
                <w:rFonts w:ascii="宋体" w:hAnsi="宋体" w:eastAsia="宋体" w:cs="宋体"/>
                <w:color w:val="auto"/>
                <w:u w:val="single"/>
              </w:rPr>
              <w:t>共计以下十个收费站点内的食堂（绵阳南收费站</w:t>
            </w:r>
            <w:r>
              <w:rPr>
                <w:rFonts w:hint="eastAsia" w:ascii="宋体" w:hAnsi="宋体" w:eastAsia="宋体" w:cs="宋体"/>
                <w:color w:val="auto"/>
                <w:u w:val="single"/>
              </w:rPr>
              <w:t xml:space="preserve">、绵阳收费站、科学城收费站、江油收费站、贯山收费站、江油北收费站、小溪坝收费站、厚坝收费站、二郞庙收费站、金子山收费站） </w:t>
            </w:r>
          </w:p>
        </w:tc>
      </w:tr>
      <w:tr w14:paraId="0CB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49" w:type="dxa"/>
            <w:vAlign w:val="center"/>
          </w:tcPr>
          <w:p w14:paraId="7873A867">
            <w:pPr>
              <w:spacing w:line="400" w:lineRule="exact"/>
              <w:jc w:val="center"/>
              <w:rPr>
                <w:rFonts w:ascii="宋体" w:hAnsi="宋体" w:eastAsia="宋体" w:cs="宋体"/>
              </w:rPr>
            </w:pPr>
            <w:r>
              <w:rPr>
                <w:rFonts w:hint="eastAsia" w:ascii="宋体" w:hAnsi="宋体" w:eastAsia="宋体" w:cs="宋体"/>
              </w:rPr>
              <w:t>3</w:t>
            </w:r>
          </w:p>
        </w:tc>
        <w:tc>
          <w:tcPr>
            <w:tcW w:w="1858" w:type="dxa"/>
            <w:vAlign w:val="center"/>
          </w:tcPr>
          <w:p w14:paraId="52FF1E33">
            <w:pPr>
              <w:spacing w:line="400" w:lineRule="exact"/>
              <w:jc w:val="center"/>
              <w:rPr>
                <w:rFonts w:ascii="宋体" w:hAnsi="宋体" w:eastAsia="宋体" w:cs="宋体"/>
              </w:rPr>
            </w:pPr>
            <w:r>
              <w:rPr>
                <w:rFonts w:hint="eastAsia" w:ascii="宋体" w:hAnsi="宋体" w:eastAsia="宋体" w:cs="宋体"/>
              </w:rPr>
              <w:t>比选申请人</w:t>
            </w:r>
          </w:p>
        </w:tc>
        <w:tc>
          <w:tcPr>
            <w:tcW w:w="6505" w:type="dxa"/>
            <w:vAlign w:val="center"/>
          </w:tcPr>
          <w:p w14:paraId="421D4EAD">
            <w:pPr>
              <w:spacing w:line="360" w:lineRule="exact"/>
              <w:rPr>
                <w:rFonts w:ascii="宋体" w:hAnsi="宋体" w:eastAsia="宋体" w:cs="宋体"/>
                <w:color w:val="auto"/>
              </w:rPr>
            </w:pPr>
            <w:r>
              <w:rPr>
                <w:rFonts w:hint="eastAsia" w:ascii="宋体" w:hAnsi="宋体" w:eastAsia="宋体" w:cs="宋体"/>
                <w:color w:val="auto"/>
              </w:rPr>
              <w:t>比选申请人仅限绵阳市涪城区、游仙区及江油市范围内的配送单位和超市。</w:t>
            </w:r>
          </w:p>
        </w:tc>
      </w:tr>
      <w:tr w14:paraId="73A7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9" w:type="dxa"/>
            <w:vAlign w:val="center"/>
          </w:tcPr>
          <w:p w14:paraId="1D41BCEE">
            <w:pPr>
              <w:spacing w:line="400" w:lineRule="exact"/>
              <w:jc w:val="center"/>
              <w:rPr>
                <w:rFonts w:ascii="宋体" w:hAnsi="宋体" w:eastAsia="宋体" w:cs="宋体"/>
              </w:rPr>
            </w:pPr>
            <w:r>
              <w:rPr>
                <w:rFonts w:ascii="宋体" w:hAnsi="宋体" w:eastAsia="宋体" w:cs="宋体"/>
              </w:rPr>
              <w:t>4</w:t>
            </w:r>
          </w:p>
        </w:tc>
        <w:tc>
          <w:tcPr>
            <w:tcW w:w="1858" w:type="dxa"/>
            <w:vAlign w:val="center"/>
          </w:tcPr>
          <w:p w14:paraId="70ACC940">
            <w:pPr>
              <w:spacing w:line="400" w:lineRule="exact"/>
              <w:jc w:val="center"/>
              <w:rPr>
                <w:rFonts w:ascii="宋体" w:hAnsi="宋体" w:eastAsia="宋体" w:cs="宋体"/>
              </w:rPr>
            </w:pPr>
            <w:r>
              <w:rPr>
                <w:rFonts w:hint="eastAsia" w:ascii="宋体" w:hAnsi="宋体" w:eastAsia="宋体" w:cs="宋体"/>
              </w:rPr>
              <w:t>资金来源</w:t>
            </w:r>
          </w:p>
        </w:tc>
        <w:tc>
          <w:tcPr>
            <w:tcW w:w="6505" w:type="dxa"/>
            <w:vAlign w:val="center"/>
          </w:tcPr>
          <w:p w14:paraId="7E752E2C">
            <w:pPr>
              <w:spacing w:line="360" w:lineRule="exact"/>
              <w:rPr>
                <w:rFonts w:ascii="宋体" w:hAnsi="宋体" w:eastAsia="宋体" w:cs="宋体"/>
              </w:rPr>
            </w:pPr>
            <w:r>
              <w:rPr>
                <w:rFonts w:hint="eastAsia" w:ascii="宋体" w:hAnsi="宋体" w:eastAsia="宋体" w:cs="宋体"/>
                <w:bCs/>
              </w:rPr>
              <w:t>自筹资金</w:t>
            </w:r>
          </w:p>
        </w:tc>
      </w:tr>
      <w:tr w14:paraId="666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9" w:type="dxa"/>
            <w:vAlign w:val="center"/>
          </w:tcPr>
          <w:p w14:paraId="13CD4EC6">
            <w:pPr>
              <w:spacing w:line="400" w:lineRule="exact"/>
              <w:jc w:val="center"/>
              <w:rPr>
                <w:rFonts w:ascii="宋体" w:hAnsi="宋体" w:eastAsia="宋体" w:cs="宋体"/>
              </w:rPr>
            </w:pPr>
            <w:r>
              <w:rPr>
                <w:rFonts w:ascii="宋体" w:hAnsi="宋体" w:eastAsia="宋体" w:cs="宋体"/>
              </w:rPr>
              <w:t>5</w:t>
            </w:r>
          </w:p>
        </w:tc>
        <w:tc>
          <w:tcPr>
            <w:tcW w:w="1858" w:type="dxa"/>
            <w:vAlign w:val="center"/>
          </w:tcPr>
          <w:p w14:paraId="34DFD5EA">
            <w:pPr>
              <w:spacing w:line="400" w:lineRule="exact"/>
              <w:jc w:val="center"/>
              <w:rPr>
                <w:rFonts w:ascii="宋体" w:hAnsi="宋体" w:eastAsia="宋体" w:cs="宋体"/>
              </w:rPr>
            </w:pPr>
            <w:r>
              <w:rPr>
                <w:rFonts w:hint="eastAsia" w:ascii="宋体" w:hAnsi="宋体" w:eastAsia="宋体" w:cs="宋体"/>
              </w:rPr>
              <w:t>项目内容</w:t>
            </w:r>
          </w:p>
        </w:tc>
        <w:tc>
          <w:tcPr>
            <w:tcW w:w="6505" w:type="dxa"/>
            <w:vAlign w:val="center"/>
          </w:tcPr>
          <w:p w14:paraId="7A89BB97">
            <w:pPr>
              <w:kinsoku/>
              <w:spacing w:line="360" w:lineRule="exact"/>
              <w:ind w:right="6"/>
              <w:jc w:val="both"/>
              <w:rPr>
                <w:rFonts w:ascii="宋体" w:hAnsi="宋体" w:eastAsia="宋体" w:cs="宋体"/>
                <w:kern w:val="2"/>
              </w:rPr>
            </w:pPr>
            <w:r>
              <w:rPr>
                <w:rFonts w:hint="eastAsia" w:ascii="宋体" w:hAnsi="宋体" w:eastAsia="宋体" w:cs="宋体"/>
                <w:color w:val="auto"/>
                <w:spacing w:val="-3"/>
              </w:rPr>
              <w:t>详见公告</w:t>
            </w:r>
          </w:p>
        </w:tc>
      </w:tr>
      <w:tr w14:paraId="4B7B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9" w:type="dxa"/>
            <w:vAlign w:val="center"/>
          </w:tcPr>
          <w:p w14:paraId="5E8CC176">
            <w:pPr>
              <w:spacing w:line="400" w:lineRule="exact"/>
              <w:jc w:val="center"/>
              <w:rPr>
                <w:rFonts w:ascii="宋体" w:hAnsi="宋体" w:eastAsia="宋体" w:cs="宋体"/>
              </w:rPr>
            </w:pPr>
            <w:r>
              <w:rPr>
                <w:rFonts w:ascii="宋体" w:hAnsi="宋体" w:eastAsia="宋体" w:cs="宋体"/>
              </w:rPr>
              <w:t>6</w:t>
            </w:r>
          </w:p>
        </w:tc>
        <w:tc>
          <w:tcPr>
            <w:tcW w:w="1858" w:type="dxa"/>
            <w:vAlign w:val="center"/>
          </w:tcPr>
          <w:p w14:paraId="599AABA1">
            <w:pPr>
              <w:spacing w:line="400" w:lineRule="exact"/>
              <w:jc w:val="center"/>
              <w:rPr>
                <w:rFonts w:ascii="宋体" w:hAnsi="宋体" w:eastAsia="宋体" w:cs="宋体"/>
              </w:rPr>
            </w:pPr>
            <w:r>
              <w:rPr>
                <w:rFonts w:hint="eastAsia" w:ascii="宋体" w:hAnsi="宋体" w:eastAsia="宋体" w:cs="宋体"/>
              </w:rPr>
              <w:t>质量要求</w:t>
            </w:r>
          </w:p>
        </w:tc>
        <w:tc>
          <w:tcPr>
            <w:tcW w:w="6505" w:type="dxa"/>
            <w:vAlign w:val="center"/>
          </w:tcPr>
          <w:p w14:paraId="08120CCF">
            <w:pPr>
              <w:pStyle w:val="8"/>
              <w:spacing w:line="360" w:lineRule="exact"/>
              <w:rPr>
                <w:rFonts w:cs="宋体"/>
                <w:color w:val="auto"/>
                <w:spacing w:val="-3"/>
              </w:rPr>
            </w:pPr>
            <w:r>
              <w:rPr>
                <w:rFonts w:hint="eastAsia" w:cs="宋体"/>
                <w:color w:val="auto"/>
              </w:rPr>
              <w:t>符合国家﹑四川省现行管理要求，并满足比选文件及比选人要求。</w:t>
            </w:r>
          </w:p>
        </w:tc>
      </w:tr>
      <w:tr w14:paraId="1F1F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49" w:type="dxa"/>
            <w:vAlign w:val="center"/>
          </w:tcPr>
          <w:p w14:paraId="58DBC87A">
            <w:pPr>
              <w:spacing w:line="400" w:lineRule="exact"/>
              <w:jc w:val="center"/>
              <w:rPr>
                <w:rFonts w:ascii="宋体" w:hAnsi="宋体" w:eastAsia="宋体" w:cs="宋体"/>
              </w:rPr>
            </w:pPr>
            <w:r>
              <w:rPr>
                <w:rFonts w:ascii="宋体" w:hAnsi="宋体" w:eastAsia="宋体" w:cs="宋体"/>
              </w:rPr>
              <w:t>7</w:t>
            </w:r>
          </w:p>
        </w:tc>
        <w:tc>
          <w:tcPr>
            <w:tcW w:w="1858" w:type="dxa"/>
            <w:vAlign w:val="center"/>
          </w:tcPr>
          <w:p w14:paraId="69CEF781">
            <w:pPr>
              <w:spacing w:line="400" w:lineRule="exact"/>
              <w:jc w:val="center"/>
              <w:rPr>
                <w:rFonts w:ascii="宋体" w:hAnsi="宋体" w:eastAsia="宋体" w:cs="宋体"/>
              </w:rPr>
            </w:pPr>
            <w:r>
              <w:rPr>
                <w:rFonts w:hint="eastAsia" w:ascii="宋体" w:hAnsi="宋体" w:eastAsia="宋体" w:cs="宋体"/>
              </w:rPr>
              <w:t>服务期限</w:t>
            </w:r>
          </w:p>
        </w:tc>
        <w:tc>
          <w:tcPr>
            <w:tcW w:w="6505" w:type="dxa"/>
            <w:vAlign w:val="center"/>
          </w:tcPr>
          <w:p w14:paraId="18E5A636">
            <w:pPr>
              <w:pStyle w:val="8"/>
              <w:spacing w:line="360" w:lineRule="exact"/>
              <w:rPr>
                <w:rFonts w:cs="宋体"/>
              </w:rPr>
            </w:pPr>
            <w:r>
              <w:rPr>
                <w:rFonts w:hint="eastAsia" w:cs="宋体"/>
                <w:color w:val="auto"/>
                <w:spacing w:val="-3"/>
              </w:rPr>
              <w:t>详见公告</w:t>
            </w:r>
          </w:p>
        </w:tc>
      </w:tr>
      <w:tr w14:paraId="5B8B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9" w:type="dxa"/>
            <w:vAlign w:val="center"/>
          </w:tcPr>
          <w:p w14:paraId="29A12B0A">
            <w:pPr>
              <w:spacing w:line="400" w:lineRule="exact"/>
              <w:jc w:val="center"/>
              <w:rPr>
                <w:rFonts w:ascii="宋体" w:hAnsi="宋体" w:eastAsia="宋体" w:cs="宋体"/>
              </w:rPr>
            </w:pPr>
            <w:r>
              <w:rPr>
                <w:rFonts w:ascii="宋体" w:hAnsi="宋体" w:eastAsia="宋体" w:cs="宋体"/>
              </w:rPr>
              <w:t>8</w:t>
            </w:r>
          </w:p>
        </w:tc>
        <w:tc>
          <w:tcPr>
            <w:tcW w:w="1858" w:type="dxa"/>
            <w:vAlign w:val="center"/>
          </w:tcPr>
          <w:p w14:paraId="133CD030">
            <w:pPr>
              <w:spacing w:line="400" w:lineRule="exact"/>
              <w:jc w:val="center"/>
              <w:rPr>
                <w:rFonts w:ascii="宋体" w:hAnsi="宋体" w:eastAsia="宋体" w:cs="宋体"/>
                <w:color w:val="auto"/>
              </w:rPr>
            </w:pPr>
            <w:r>
              <w:rPr>
                <w:rFonts w:hint="eastAsia" w:ascii="宋体" w:hAnsi="宋体" w:eastAsia="宋体" w:cs="宋体"/>
                <w:color w:val="auto"/>
              </w:rPr>
              <w:t>比选申请人</w:t>
            </w:r>
          </w:p>
          <w:p w14:paraId="495E2DC5">
            <w:pPr>
              <w:spacing w:line="400" w:lineRule="exact"/>
              <w:jc w:val="center"/>
              <w:rPr>
                <w:rFonts w:ascii="宋体" w:hAnsi="宋体" w:eastAsia="宋体" w:cs="宋体"/>
                <w:color w:val="auto"/>
              </w:rPr>
            </w:pPr>
            <w:r>
              <w:rPr>
                <w:rFonts w:hint="eastAsia" w:ascii="宋体" w:hAnsi="宋体" w:eastAsia="宋体" w:cs="宋体"/>
                <w:color w:val="auto"/>
              </w:rPr>
              <w:t>资质条件、</w:t>
            </w:r>
          </w:p>
          <w:p w14:paraId="578EEFA3">
            <w:pPr>
              <w:spacing w:line="400" w:lineRule="exact"/>
              <w:jc w:val="center"/>
              <w:rPr>
                <w:rFonts w:ascii="宋体" w:hAnsi="宋体" w:eastAsia="宋体" w:cs="宋体"/>
              </w:rPr>
            </w:pPr>
            <w:r>
              <w:rPr>
                <w:rFonts w:hint="eastAsia" w:ascii="宋体" w:hAnsi="宋体" w:eastAsia="宋体" w:cs="宋体"/>
                <w:color w:val="auto"/>
              </w:rPr>
              <w:t>能力和信誉</w:t>
            </w:r>
          </w:p>
        </w:tc>
        <w:tc>
          <w:tcPr>
            <w:tcW w:w="6505" w:type="dxa"/>
            <w:vAlign w:val="center"/>
          </w:tcPr>
          <w:p w14:paraId="23668BB6">
            <w:pPr>
              <w:pStyle w:val="50"/>
              <w:spacing w:line="360" w:lineRule="exact"/>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rPr>
              <w:t>以下要求详见：《三、资格审查条件》。</w:t>
            </w:r>
          </w:p>
          <w:p w14:paraId="64231B01">
            <w:pPr>
              <w:pStyle w:val="50"/>
              <w:spacing w:line="360" w:lineRule="exact"/>
              <w:jc w:val="both"/>
              <w:rPr>
                <w:rFonts w:ascii="宋体" w:hAnsi="宋体" w:eastAsia="宋体" w:cs="宋体"/>
              </w:rPr>
            </w:pPr>
            <w:r>
              <w:rPr>
                <w:rFonts w:hint="eastAsia" w:ascii="宋体" w:hAnsi="宋体" w:eastAsia="宋体" w:cs="宋体"/>
                <w:color w:val="auto"/>
                <w:sz w:val="21"/>
                <w:szCs w:val="21"/>
                <w:lang w:val="en-US"/>
              </w:rPr>
              <w:t>1</w:t>
            </w:r>
            <w:r>
              <w:rPr>
                <w:rFonts w:ascii="宋体" w:hAnsi="宋体" w:eastAsia="宋体" w:cs="宋体"/>
                <w:color w:val="auto"/>
                <w:sz w:val="21"/>
                <w:szCs w:val="21"/>
                <w:lang w:val="en-US"/>
              </w:rPr>
              <w:t>）</w:t>
            </w:r>
            <w:r>
              <w:rPr>
                <w:rFonts w:hint="eastAsia" w:ascii="宋体" w:hAnsi="宋体" w:eastAsia="宋体" w:cs="宋体"/>
                <w:color w:val="auto"/>
                <w:sz w:val="21"/>
                <w:szCs w:val="21"/>
                <w:lang w:val="en-US"/>
              </w:rPr>
              <w:t xml:space="preserve">资质要求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2）业绩要求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3）信誉要求 </w:t>
            </w:r>
            <w:r>
              <w:rPr>
                <w:rFonts w:ascii="宋体" w:hAnsi="宋体" w:eastAsia="宋体" w:cs="宋体"/>
                <w:color w:val="auto"/>
                <w:sz w:val="21"/>
                <w:szCs w:val="21"/>
                <w:lang w:val="en-US"/>
              </w:rPr>
              <w:t xml:space="preserve"> </w:t>
            </w:r>
            <w:r>
              <w:rPr>
                <w:rFonts w:hint="eastAsia" w:ascii="宋体" w:hAnsi="宋体" w:eastAsia="宋体" w:cs="宋体"/>
                <w:color w:val="auto"/>
              </w:rPr>
              <w:t>4）其他要求</w:t>
            </w:r>
          </w:p>
        </w:tc>
      </w:tr>
      <w:tr w14:paraId="4D78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9" w:type="dxa"/>
            <w:vAlign w:val="center"/>
          </w:tcPr>
          <w:p w14:paraId="5906925F">
            <w:pPr>
              <w:spacing w:line="400" w:lineRule="exact"/>
              <w:jc w:val="center"/>
              <w:rPr>
                <w:rFonts w:ascii="宋体" w:hAnsi="宋体" w:eastAsia="宋体" w:cs="宋体"/>
              </w:rPr>
            </w:pPr>
            <w:r>
              <w:rPr>
                <w:rFonts w:ascii="宋体" w:hAnsi="宋体" w:eastAsia="宋体" w:cs="宋体"/>
              </w:rPr>
              <w:t>9</w:t>
            </w:r>
          </w:p>
        </w:tc>
        <w:tc>
          <w:tcPr>
            <w:tcW w:w="1858" w:type="dxa"/>
            <w:vAlign w:val="center"/>
          </w:tcPr>
          <w:p w14:paraId="33D5EA21">
            <w:pPr>
              <w:pStyle w:val="50"/>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是否接受</w:t>
            </w:r>
          </w:p>
          <w:p w14:paraId="03E31192">
            <w:pPr>
              <w:pStyle w:val="50"/>
              <w:spacing w:line="240" w:lineRule="auto"/>
              <w:jc w:val="center"/>
              <w:rPr>
                <w:rFonts w:ascii="宋体" w:hAnsi="宋体" w:eastAsia="宋体" w:cs="宋体"/>
                <w:sz w:val="21"/>
                <w:szCs w:val="21"/>
              </w:rPr>
            </w:pPr>
            <w:r>
              <w:rPr>
                <w:rFonts w:hint="eastAsia" w:ascii="宋体" w:hAnsi="宋体" w:eastAsia="宋体" w:cs="宋体"/>
                <w:color w:val="auto"/>
                <w:sz w:val="21"/>
                <w:szCs w:val="21"/>
              </w:rPr>
              <w:t>联合体</w:t>
            </w:r>
          </w:p>
        </w:tc>
        <w:tc>
          <w:tcPr>
            <w:tcW w:w="6505" w:type="dxa"/>
            <w:vAlign w:val="center"/>
          </w:tcPr>
          <w:p w14:paraId="73F96C25">
            <w:pPr>
              <w:spacing w:line="360" w:lineRule="exact"/>
              <w:rPr>
                <w:rFonts w:ascii="宋体" w:hAnsi="宋体" w:eastAsia="宋体" w:cs="宋体"/>
              </w:rPr>
            </w:pPr>
            <w:r>
              <w:rPr>
                <w:rFonts w:hint="eastAsia" w:ascii="宋体" w:hAnsi="宋体" w:eastAsia="宋体" w:cs="宋体"/>
              </w:rPr>
              <w:t>不接受</w:t>
            </w:r>
          </w:p>
        </w:tc>
      </w:tr>
      <w:tr w14:paraId="4E4D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9" w:type="dxa"/>
            <w:vAlign w:val="center"/>
          </w:tcPr>
          <w:p w14:paraId="0EC80BEE">
            <w:pPr>
              <w:spacing w:line="400" w:lineRule="exact"/>
              <w:jc w:val="center"/>
              <w:rPr>
                <w:rFonts w:ascii="宋体" w:hAnsi="宋体" w:eastAsia="宋体" w:cs="宋体"/>
              </w:rPr>
            </w:pPr>
            <w:r>
              <w:rPr>
                <w:rFonts w:ascii="宋体" w:hAnsi="宋体" w:eastAsia="宋体" w:cs="宋体"/>
              </w:rPr>
              <w:t>10</w:t>
            </w:r>
          </w:p>
        </w:tc>
        <w:tc>
          <w:tcPr>
            <w:tcW w:w="1858" w:type="dxa"/>
            <w:vAlign w:val="center"/>
          </w:tcPr>
          <w:p w14:paraId="38B96A75">
            <w:pPr>
              <w:spacing w:line="400" w:lineRule="exact"/>
              <w:jc w:val="center"/>
              <w:rPr>
                <w:rFonts w:ascii="宋体" w:hAnsi="宋体" w:eastAsia="宋体" w:cs="宋体"/>
              </w:rPr>
            </w:pPr>
            <w:r>
              <w:rPr>
                <w:rFonts w:hint="eastAsia" w:ascii="宋体" w:hAnsi="宋体" w:eastAsia="宋体" w:cs="宋体"/>
              </w:rPr>
              <w:t>现场踏勘</w:t>
            </w:r>
          </w:p>
          <w:p w14:paraId="34FC57E0">
            <w:pPr>
              <w:spacing w:line="400" w:lineRule="exact"/>
              <w:jc w:val="center"/>
              <w:rPr>
                <w:rFonts w:ascii="宋体" w:hAnsi="宋体" w:eastAsia="宋体" w:cs="宋体"/>
              </w:rPr>
            </w:pPr>
            <w:r>
              <w:rPr>
                <w:rFonts w:hint="eastAsia" w:ascii="宋体" w:hAnsi="宋体" w:eastAsia="宋体" w:cs="宋体"/>
              </w:rPr>
              <w:t>及预备会</w:t>
            </w:r>
          </w:p>
        </w:tc>
        <w:tc>
          <w:tcPr>
            <w:tcW w:w="6505" w:type="dxa"/>
            <w:vAlign w:val="center"/>
          </w:tcPr>
          <w:p w14:paraId="18278BD0">
            <w:pPr>
              <w:spacing w:line="360" w:lineRule="exact"/>
              <w:rPr>
                <w:rFonts w:ascii="宋体" w:hAnsi="宋体" w:eastAsia="宋体" w:cs="宋体"/>
              </w:rPr>
            </w:pPr>
            <w:r>
              <w:rPr>
                <w:rFonts w:hint="eastAsia" w:ascii="宋体" w:hAnsi="宋体" w:eastAsia="宋体" w:cs="宋体"/>
              </w:rPr>
              <w:t>/</w:t>
            </w:r>
          </w:p>
        </w:tc>
      </w:tr>
      <w:tr w14:paraId="5123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49" w:type="dxa"/>
            <w:vAlign w:val="center"/>
          </w:tcPr>
          <w:p w14:paraId="77E4FA68">
            <w:pPr>
              <w:spacing w:line="400" w:lineRule="exact"/>
              <w:jc w:val="center"/>
              <w:rPr>
                <w:rFonts w:ascii="宋体" w:hAnsi="宋体" w:eastAsia="宋体" w:cs="宋体"/>
              </w:rPr>
            </w:pPr>
            <w:r>
              <w:rPr>
                <w:rFonts w:ascii="宋体" w:hAnsi="宋体" w:eastAsia="宋体" w:cs="宋体"/>
              </w:rPr>
              <w:t>11</w:t>
            </w:r>
          </w:p>
        </w:tc>
        <w:tc>
          <w:tcPr>
            <w:tcW w:w="1858" w:type="dxa"/>
            <w:vAlign w:val="center"/>
          </w:tcPr>
          <w:p w14:paraId="0891B5B3">
            <w:pPr>
              <w:spacing w:line="400" w:lineRule="exact"/>
              <w:jc w:val="center"/>
              <w:rPr>
                <w:rFonts w:ascii="宋体" w:hAnsi="宋体" w:eastAsia="宋体" w:cs="宋体"/>
                <w:color w:val="auto"/>
              </w:rPr>
            </w:pPr>
            <w:r>
              <w:rPr>
                <w:rFonts w:hint="eastAsia" w:ascii="宋体" w:hAnsi="宋体" w:eastAsia="宋体" w:cs="宋体"/>
                <w:color w:val="auto"/>
              </w:rPr>
              <w:t>比选文件</w:t>
            </w:r>
          </w:p>
          <w:p w14:paraId="1BEC18A4">
            <w:pPr>
              <w:spacing w:line="400" w:lineRule="exact"/>
              <w:jc w:val="center"/>
              <w:rPr>
                <w:rFonts w:ascii="宋体" w:hAnsi="宋体" w:eastAsia="宋体" w:cs="宋体"/>
              </w:rPr>
            </w:pPr>
            <w:r>
              <w:rPr>
                <w:rFonts w:hint="eastAsia" w:ascii="宋体" w:hAnsi="宋体" w:eastAsia="宋体" w:cs="宋体"/>
                <w:color w:val="auto"/>
              </w:rPr>
              <w:t>组成</w:t>
            </w:r>
          </w:p>
        </w:tc>
        <w:tc>
          <w:tcPr>
            <w:tcW w:w="6505" w:type="dxa"/>
            <w:vAlign w:val="center"/>
          </w:tcPr>
          <w:p w14:paraId="57E40CA9">
            <w:pPr>
              <w:pStyle w:val="12"/>
              <w:spacing w:line="360" w:lineRule="exact"/>
              <w:jc w:val="both"/>
              <w:rPr>
                <w:rFonts w:hAnsi="宋体" w:eastAsia="宋体" w:cs="宋体"/>
                <w:color w:val="auto"/>
              </w:rPr>
            </w:pPr>
            <w:r>
              <w:rPr>
                <w:rFonts w:hint="eastAsia" w:hAnsi="宋体" w:eastAsia="宋体" w:cs="宋体"/>
                <w:color w:val="auto"/>
              </w:rPr>
              <w:t>本比选文件包括：</w:t>
            </w:r>
          </w:p>
          <w:p w14:paraId="11204B06">
            <w:pPr>
              <w:pStyle w:val="12"/>
              <w:numPr>
                <w:ilvl w:val="0"/>
                <w:numId w:val="1"/>
              </w:numPr>
              <w:spacing w:line="360" w:lineRule="exact"/>
              <w:jc w:val="both"/>
              <w:rPr>
                <w:rFonts w:hAnsi="宋体" w:eastAsia="宋体" w:cs="宋体"/>
                <w:color w:val="auto"/>
              </w:rPr>
            </w:pPr>
            <w:r>
              <w:rPr>
                <w:rFonts w:hint="eastAsia" w:hAnsi="宋体" w:eastAsia="宋体" w:cs="宋体"/>
                <w:color w:val="auto"/>
              </w:rPr>
              <w:t xml:space="preserve">比选公告 </w:t>
            </w:r>
            <w:r>
              <w:rPr>
                <w:rFonts w:hAnsi="宋体" w:eastAsia="宋体" w:cs="宋体"/>
                <w:color w:val="auto"/>
              </w:rPr>
              <w:t xml:space="preserve">   </w:t>
            </w:r>
          </w:p>
          <w:p w14:paraId="4407E6F7">
            <w:pPr>
              <w:pStyle w:val="12"/>
              <w:numPr>
                <w:ilvl w:val="0"/>
                <w:numId w:val="1"/>
              </w:numPr>
              <w:spacing w:line="360" w:lineRule="exact"/>
              <w:jc w:val="both"/>
              <w:rPr>
                <w:rFonts w:hAnsi="宋体" w:eastAsia="宋体" w:cs="宋体"/>
                <w:color w:val="auto"/>
              </w:rPr>
            </w:pPr>
            <w:r>
              <w:rPr>
                <w:rFonts w:hint="eastAsia" w:hAnsi="宋体" w:eastAsia="宋体" w:cs="宋体"/>
                <w:color w:val="auto"/>
              </w:rPr>
              <w:t>比选申请人须知</w:t>
            </w:r>
          </w:p>
          <w:p w14:paraId="2131C767">
            <w:pPr>
              <w:pStyle w:val="12"/>
              <w:numPr>
                <w:ilvl w:val="0"/>
                <w:numId w:val="1"/>
              </w:numPr>
              <w:spacing w:line="360" w:lineRule="exact"/>
              <w:jc w:val="both"/>
              <w:rPr>
                <w:rFonts w:hAnsi="宋体" w:eastAsia="宋体" w:cs="宋体"/>
                <w:color w:val="auto"/>
              </w:rPr>
            </w:pPr>
            <w:r>
              <w:rPr>
                <w:rFonts w:hint="eastAsia" w:hAnsi="宋体" w:eastAsia="宋体" w:cs="宋体"/>
                <w:color w:val="auto"/>
              </w:rPr>
              <w:t>评审办法（综合评分法）</w:t>
            </w:r>
          </w:p>
          <w:p w14:paraId="27DF142C">
            <w:pPr>
              <w:pStyle w:val="12"/>
              <w:numPr>
                <w:ilvl w:val="0"/>
                <w:numId w:val="1"/>
              </w:numPr>
              <w:spacing w:line="360" w:lineRule="exact"/>
              <w:jc w:val="both"/>
              <w:rPr>
                <w:rFonts w:hAnsi="宋体" w:eastAsia="宋体" w:cs="宋体"/>
                <w:color w:val="auto"/>
              </w:rPr>
            </w:pPr>
            <w:r>
              <w:rPr>
                <w:rFonts w:hint="eastAsia" w:hAnsi="宋体" w:eastAsia="宋体" w:cs="宋体"/>
                <w:color w:val="auto"/>
              </w:rPr>
              <w:t>合同协议格式</w:t>
            </w:r>
          </w:p>
          <w:p w14:paraId="3290D5C4">
            <w:pPr>
              <w:pStyle w:val="12"/>
              <w:numPr>
                <w:ilvl w:val="0"/>
                <w:numId w:val="1"/>
              </w:numPr>
              <w:spacing w:line="360" w:lineRule="exact"/>
              <w:jc w:val="both"/>
              <w:rPr>
                <w:rFonts w:hAnsi="宋体" w:eastAsia="宋体" w:cs="宋体"/>
                <w:color w:val="auto"/>
              </w:rPr>
            </w:pPr>
            <w:r>
              <w:rPr>
                <w:rFonts w:hint="eastAsia" w:hAnsi="宋体" w:eastAsia="宋体" w:cs="宋体"/>
                <w:color w:val="auto"/>
              </w:rPr>
              <w:t>委托人要求</w:t>
            </w:r>
          </w:p>
          <w:p w14:paraId="02CF2B74">
            <w:pPr>
              <w:pStyle w:val="12"/>
              <w:numPr>
                <w:ilvl w:val="0"/>
                <w:numId w:val="1"/>
              </w:numPr>
              <w:spacing w:line="360" w:lineRule="exact"/>
              <w:jc w:val="both"/>
              <w:rPr>
                <w:rFonts w:hAnsi="宋体" w:eastAsia="宋体" w:cs="宋体"/>
              </w:rPr>
            </w:pPr>
            <w:r>
              <w:rPr>
                <w:rFonts w:hint="eastAsia" w:hAnsi="宋体" w:eastAsia="宋体" w:cs="宋体"/>
                <w:color w:val="auto"/>
              </w:rPr>
              <w:t>比选申请文件格式</w:t>
            </w:r>
          </w:p>
        </w:tc>
      </w:tr>
      <w:tr w14:paraId="1D1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49" w:type="dxa"/>
            <w:vAlign w:val="center"/>
          </w:tcPr>
          <w:p w14:paraId="33227994">
            <w:pPr>
              <w:spacing w:line="400" w:lineRule="exact"/>
              <w:jc w:val="center"/>
              <w:rPr>
                <w:rFonts w:ascii="宋体" w:hAnsi="宋体" w:eastAsia="宋体" w:cs="宋体"/>
              </w:rPr>
            </w:pPr>
            <w:r>
              <w:rPr>
                <w:rFonts w:hint="eastAsia" w:ascii="宋体" w:hAnsi="宋体" w:eastAsia="宋体" w:cs="宋体"/>
              </w:rPr>
              <w:t>1</w:t>
            </w:r>
            <w:r>
              <w:rPr>
                <w:rFonts w:ascii="宋体" w:hAnsi="宋体" w:eastAsia="宋体" w:cs="宋体"/>
              </w:rPr>
              <w:t>2</w:t>
            </w:r>
          </w:p>
        </w:tc>
        <w:tc>
          <w:tcPr>
            <w:tcW w:w="1858" w:type="dxa"/>
            <w:vAlign w:val="center"/>
          </w:tcPr>
          <w:p w14:paraId="04D6932D">
            <w:pPr>
              <w:spacing w:line="400" w:lineRule="exact"/>
              <w:jc w:val="center"/>
              <w:rPr>
                <w:rFonts w:ascii="宋体" w:hAnsi="宋体" w:eastAsia="宋体" w:cs="宋体"/>
              </w:rPr>
            </w:pPr>
            <w:r>
              <w:rPr>
                <w:rFonts w:hint="eastAsia" w:ascii="宋体" w:hAnsi="宋体" w:eastAsia="宋体" w:cs="宋体"/>
              </w:rPr>
              <w:t>比选申请文件</w:t>
            </w:r>
          </w:p>
          <w:p w14:paraId="6C22A5B9">
            <w:pPr>
              <w:spacing w:line="400" w:lineRule="exact"/>
              <w:jc w:val="center"/>
              <w:rPr>
                <w:rFonts w:ascii="宋体" w:hAnsi="宋体" w:eastAsia="宋体" w:cs="宋体"/>
              </w:rPr>
            </w:pPr>
            <w:r>
              <w:rPr>
                <w:rFonts w:hint="eastAsia" w:ascii="宋体" w:hAnsi="宋体" w:eastAsia="宋体" w:cs="宋体"/>
              </w:rPr>
              <w:t>组成</w:t>
            </w:r>
          </w:p>
        </w:tc>
        <w:tc>
          <w:tcPr>
            <w:tcW w:w="6505" w:type="dxa"/>
            <w:vAlign w:val="center"/>
          </w:tcPr>
          <w:p w14:paraId="7D7D7713">
            <w:pPr>
              <w:pStyle w:val="12"/>
              <w:spacing w:line="360" w:lineRule="exact"/>
              <w:jc w:val="both"/>
              <w:rPr>
                <w:rFonts w:hAnsi="宋体" w:eastAsia="宋体" w:cs="宋体"/>
                <w:color w:val="auto"/>
              </w:rPr>
            </w:pPr>
            <w:r>
              <w:rPr>
                <w:rFonts w:hint="eastAsia" w:hAnsi="宋体" w:eastAsia="宋体" w:cs="宋体"/>
                <w:color w:val="auto"/>
              </w:rPr>
              <w:t>比选文件应包括下列内容：</w:t>
            </w:r>
          </w:p>
          <w:p w14:paraId="61CC6296">
            <w:pPr>
              <w:pStyle w:val="12"/>
              <w:spacing w:line="360" w:lineRule="exact"/>
              <w:jc w:val="both"/>
              <w:rPr>
                <w:rFonts w:hAnsi="宋体" w:eastAsia="宋体" w:cs="宋体"/>
                <w:color w:val="auto"/>
              </w:rPr>
            </w:pPr>
            <w:bookmarkStart w:id="32" w:name="_Toc4785"/>
            <w:r>
              <w:rPr>
                <w:rFonts w:hint="eastAsia" w:hAnsi="宋体" w:eastAsia="宋体" w:cs="宋体"/>
                <w:color w:val="auto"/>
              </w:rPr>
              <w:t>一、第一报价函</w:t>
            </w:r>
            <w:bookmarkEnd w:id="32"/>
            <w:r>
              <w:rPr>
                <w:rFonts w:hint="eastAsia" w:hAnsi="宋体" w:eastAsia="宋体" w:cs="宋体"/>
                <w:color w:val="auto"/>
              </w:rPr>
              <w:t>、单独密封的第二和第三</w:t>
            </w:r>
            <w:r>
              <w:rPr>
                <w:rFonts w:hint="eastAsia" w:hAnsi="宋体" w:eastAsia="宋体" w:cs="宋体"/>
                <w:color w:val="auto"/>
                <w:spacing w:val="-3"/>
              </w:rPr>
              <w:t>报价函；</w:t>
            </w:r>
          </w:p>
          <w:p w14:paraId="4B00143A">
            <w:pPr>
              <w:pStyle w:val="12"/>
              <w:spacing w:line="360" w:lineRule="exact"/>
              <w:jc w:val="both"/>
              <w:rPr>
                <w:rFonts w:hAnsi="宋体" w:eastAsia="宋体" w:cs="宋体"/>
                <w:color w:val="auto"/>
              </w:rPr>
            </w:pPr>
            <w:bookmarkStart w:id="33" w:name="_Toc286"/>
            <w:r>
              <w:rPr>
                <w:rFonts w:hint="eastAsia" w:hAnsi="宋体" w:eastAsia="宋体" w:cs="宋体"/>
                <w:color w:val="auto"/>
              </w:rPr>
              <w:t>二、法定代表人身份证明及授权委托书</w:t>
            </w:r>
            <w:bookmarkEnd w:id="33"/>
          </w:p>
          <w:p w14:paraId="447C0676">
            <w:pPr>
              <w:pStyle w:val="12"/>
              <w:spacing w:line="360" w:lineRule="exact"/>
              <w:jc w:val="both"/>
              <w:rPr>
                <w:rFonts w:hAnsi="宋体" w:eastAsia="宋体" w:cs="宋体"/>
                <w:color w:val="auto"/>
              </w:rPr>
            </w:pPr>
            <w:bookmarkStart w:id="34" w:name="_Toc14263"/>
            <w:r>
              <w:rPr>
                <w:rFonts w:hint="eastAsia" w:hAnsi="宋体" w:eastAsia="宋体" w:cs="宋体"/>
                <w:color w:val="auto"/>
              </w:rPr>
              <w:t>三、</w:t>
            </w:r>
            <w:bookmarkEnd w:id="34"/>
            <w:bookmarkStart w:id="35" w:name="_Toc23038"/>
            <w:r>
              <w:rPr>
                <w:rFonts w:hint="eastAsia" w:hAnsi="宋体" w:eastAsia="宋体" w:cs="宋体"/>
                <w:color w:val="auto"/>
              </w:rPr>
              <w:t>资格审查资料</w:t>
            </w:r>
            <w:bookmarkEnd w:id="35"/>
          </w:p>
          <w:p w14:paraId="4273BAE8">
            <w:pPr>
              <w:pStyle w:val="12"/>
              <w:spacing w:line="360" w:lineRule="exact"/>
              <w:jc w:val="both"/>
              <w:rPr>
                <w:rFonts w:hAnsi="宋体" w:eastAsia="宋体" w:cs="宋体"/>
                <w:color w:val="auto"/>
              </w:rPr>
            </w:pPr>
            <w:r>
              <w:rPr>
                <w:rFonts w:hint="eastAsia" w:hAnsi="宋体" w:eastAsia="宋体" w:cs="宋体"/>
                <w:color w:val="auto"/>
              </w:rPr>
              <w:t>四、服务方案</w:t>
            </w:r>
          </w:p>
          <w:p w14:paraId="1C0558E3">
            <w:pPr>
              <w:pStyle w:val="12"/>
              <w:spacing w:line="360" w:lineRule="exact"/>
              <w:jc w:val="both"/>
              <w:rPr>
                <w:rFonts w:hAnsi="宋体" w:eastAsia="宋体" w:cs="宋体"/>
                <w:color w:val="auto"/>
                <w:spacing w:val="-3"/>
                <w:highlight w:val="yellow"/>
                <w:u w:val="single"/>
              </w:rPr>
            </w:pPr>
            <w:r>
              <w:rPr>
                <w:rFonts w:hint="eastAsia" w:hAnsi="宋体" w:eastAsia="宋体" w:cs="宋体"/>
                <w:color w:val="auto"/>
              </w:rPr>
              <w:t>五、</w:t>
            </w:r>
            <w:bookmarkStart w:id="36" w:name="_Toc6976"/>
            <w:r>
              <w:rPr>
                <w:rFonts w:hint="eastAsia" w:hAnsi="宋体" w:eastAsia="宋体" w:cs="宋体"/>
                <w:color w:val="auto"/>
              </w:rPr>
              <w:t>其他资料</w:t>
            </w:r>
            <w:bookmarkEnd w:id="36"/>
            <w:r>
              <w:rPr>
                <w:rFonts w:hint="eastAsia" w:hAnsi="宋体" w:eastAsia="宋体" w:cs="宋体"/>
                <w:color w:val="auto"/>
              </w:rPr>
              <w:t>（如有）</w:t>
            </w:r>
          </w:p>
        </w:tc>
      </w:tr>
      <w:tr w14:paraId="654A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49" w:type="dxa"/>
            <w:vAlign w:val="center"/>
          </w:tcPr>
          <w:p w14:paraId="7E1F766E">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p>
        </w:tc>
        <w:tc>
          <w:tcPr>
            <w:tcW w:w="1858" w:type="dxa"/>
            <w:vAlign w:val="center"/>
          </w:tcPr>
          <w:p w14:paraId="7FBA1886">
            <w:pPr>
              <w:spacing w:line="360" w:lineRule="exact"/>
              <w:jc w:val="center"/>
              <w:rPr>
                <w:rFonts w:ascii="宋体" w:hAnsi="宋体" w:eastAsia="宋体" w:cs="宋体"/>
              </w:rPr>
            </w:pPr>
            <w:r>
              <w:rPr>
                <w:rFonts w:hint="eastAsia" w:ascii="宋体" w:hAnsi="宋体" w:eastAsia="宋体" w:cs="宋体"/>
              </w:rPr>
              <w:t>比选申请报价</w:t>
            </w:r>
          </w:p>
        </w:tc>
        <w:tc>
          <w:tcPr>
            <w:tcW w:w="6505" w:type="dxa"/>
            <w:vAlign w:val="center"/>
          </w:tcPr>
          <w:p w14:paraId="6C02A9F1">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本项目采用</w:t>
            </w:r>
            <w:r>
              <w:rPr>
                <w:rFonts w:hint="eastAsia" w:ascii="宋体" w:hAnsi="宋体" w:eastAsia="宋体" w:cs="宋体"/>
                <w:b/>
                <w:bCs/>
                <w:color w:val="auto"/>
                <w:sz w:val="21"/>
                <w:szCs w:val="21"/>
                <w:lang w:val="en-US"/>
              </w:rPr>
              <w:t>比例报价</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人根据本项目市场情况及自身情况进行</w:t>
            </w:r>
            <w:r>
              <w:rPr>
                <w:rFonts w:hint="eastAsia" w:ascii="宋体" w:hAnsi="宋体" w:eastAsia="宋体" w:cs="宋体"/>
                <w:color w:val="auto"/>
                <w:sz w:val="21"/>
                <w:szCs w:val="21"/>
                <w:lang w:val="en-US"/>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rPr>
              <w:t>报价比例</w:t>
            </w:r>
            <w:r>
              <w:rPr>
                <w:rFonts w:hint="eastAsia" w:ascii="宋体" w:hAnsi="宋体" w:eastAsia="宋体" w:cs="宋体"/>
                <w:color w:val="auto"/>
                <w:sz w:val="21"/>
                <w:szCs w:val="21"/>
              </w:rPr>
              <w:t>不得高于最高限价，否则</w:t>
            </w:r>
            <w:r>
              <w:rPr>
                <w:rFonts w:hint="eastAsia" w:ascii="宋体" w:hAnsi="宋体" w:eastAsia="宋体" w:cs="宋体"/>
                <w:color w:val="auto"/>
                <w:sz w:val="21"/>
                <w:szCs w:val="21"/>
                <w:lang w:val="en-US"/>
              </w:rPr>
              <w:t>其比选申请将被否决</w:t>
            </w:r>
            <w:r>
              <w:rPr>
                <w:rFonts w:hint="eastAsia" w:ascii="宋体" w:hAnsi="宋体" w:eastAsia="宋体" w:cs="宋体"/>
                <w:color w:val="auto"/>
                <w:sz w:val="21"/>
                <w:szCs w:val="21"/>
              </w:rPr>
              <w:t>。</w:t>
            </w:r>
          </w:p>
          <w:p w14:paraId="5A4F6639">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2、报价应是最终用户验收合格后的总价，包括但不限于生产、运输、冷藏、二次搬运、国家规定的各项税费等本项目涉及的一切费用。</w:t>
            </w:r>
          </w:p>
          <w:p w14:paraId="78B24E79">
            <w:pPr>
              <w:pStyle w:val="50"/>
              <w:spacing w:line="360" w:lineRule="exact"/>
              <w:jc w:val="both"/>
              <w:rPr>
                <w:rFonts w:ascii="宋体" w:hAnsi="宋体" w:eastAsia="宋体" w:cs="宋体"/>
                <w:b/>
                <w:bCs/>
                <w:color w:val="auto"/>
                <w:sz w:val="21"/>
                <w:szCs w:val="21"/>
                <w:lang w:val="en-US"/>
              </w:rPr>
            </w:pPr>
            <w:r>
              <w:rPr>
                <w:rFonts w:hint="eastAsia" w:ascii="宋体" w:hAnsi="宋体" w:eastAsia="宋体" w:cs="宋体"/>
                <w:color w:val="auto"/>
                <w:sz w:val="21"/>
                <w:szCs w:val="21"/>
                <w:lang w:val="en-US"/>
              </w:rPr>
              <w:t>3、</w:t>
            </w:r>
            <w:r>
              <w:rPr>
                <w:rFonts w:hint="eastAsia" w:ascii="宋体" w:hAnsi="宋体" w:eastAsia="宋体" w:cs="宋体"/>
                <w:b/>
                <w:bCs/>
                <w:color w:val="auto"/>
                <w:sz w:val="21"/>
                <w:szCs w:val="21"/>
                <w:lang w:val="en-US"/>
              </w:rPr>
              <w:t>最终结算金额=</w:t>
            </w:r>
            <w:r>
              <w:rPr>
                <w:rFonts w:hint="eastAsia" w:ascii="宋体" w:hAnsi="宋体" w:eastAsia="宋体" w:cs="宋体"/>
                <w:b/>
                <w:bCs/>
                <w:color w:val="auto"/>
              </w:rPr>
              <w:t>供货商供应食材报价</w:t>
            </w:r>
            <w:r>
              <w:rPr>
                <w:rFonts w:hint="eastAsia" w:ascii="宋体" w:hAnsi="宋体" w:eastAsia="宋体" w:cs="宋体"/>
                <w:b/>
                <w:bCs/>
                <w:color w:val="auto"/>
                <w:sz w:val="21"/>
                <w:szCs w:val="21"/>
                <w:lang w:val="en-US"/>
              </w:rPr>
              <w:t>*报价比例*月实际采购数量。</w:t>
            </w:r>
          </w:p>
          <w:p w14:paraId="4E3B42A1">
            <w:pPr>
              <w:pStyle w:val="50"/>
              <w:spacing w:line="360" w:lineRule="exact"/>
              <w:jc w:val="both"/>
              <w:rPr>
                <w:rFonts w:ascii="宋体" w:hAnsi="宋体" w:eastAsia="宋体" w:cs="宋体"/>
                <w:b/>
                <w:color w:val="auto"/>
                <w:sz w:val="21"/>
                <w:szCs w:val="21"/>
                <w:lang w:val="en-US"/>
              </w:rPr>
            </w:pPr>
            <w:r>
              <w:rPr>
                <w:rFonts w:hint="eastAsia" w:ascii="宋体" w:hAnsi="宋体" w:eastAsia="宋体" w:cs="宋体"/>
                <w:color w:val="auto"/>
                <w:sz w:val="21"/>
                <w:szCs w:val="21"/>
                <w:lang w:val="en-US"/>
              </w:rPr>
              <w:t>4、</w:t>
            </w:r>
            <w:r>
              <w:rPr>
                <w:rFonts w:hint="eastAsia" w:ascii="宋体" w:hAnsi="宋体" w:eastAsia="宋体" w:cs="宋体"/>
                <w:b/>
                <w:color w:val="auto"/>
                <w:sz w:val="21"/>
                <w:szCs w:val="21"/>
                <w:lang w:val="en-US"/>
              </w:rPr>
              <w:t>供货商供应食材报价高于市场基准价的，以市场基准价结算。</w:t>
            </w:r>
          </w:p>
          <w:p w14:paraId="44A97E8D">
            <w:pPr>
              <w:pStyle w:val="50"/>
              <w:spacing w:line="360" w:lineRule="exact"/>
              <w:jc w:val="both"/>
              <w:rPr>
                <w:rFonts w:ascii="宋体" w:hAnsi="宋体" w:eastAsia="宋体" w:cs="宋体"/>
                <w:sz w:val="21"/>
                <w:szCs w:val="21"/>
              </w:rPr>
            </w:pPr>
            <w:r>
              <w:rPr>
                <w:rFonts w:ascii="宋体" w:hAnsi="宋体" w:eastAsia="宋体" w:cs="宋体"/>
                <w:color w:val="auto"/>
                <w:sz w:val="21"/>
                <w:szCs w:val="21"/>
                <w:lang w:val="en-US"/>
              </w:rPr>
              <w:t>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本项目须开具符合税法规定的发票，相关税费已含在竞标报价中。</w:t>
            </w:r>
          </w:p>
        </w:tc>
      </w:tr>
      <w:tr w14:paraId="7131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749" w:type="dxa"/>
            <w:vAlign w:val="center"/>
          </w:tcPr>
          <w:p w14:paraId="2AD9E60F">
            <w:pPr>
              <w:spacing w:line="360" w:lineRule="exact"/>
              <w:ind w:firstLine="210" w:firstLineChars="100"/>
              <w:jc w:val="both"/>
              <w:rPr>
                <w:rFonts w:ascii="宋体" w:hAnsi="宋体" w:eastAsia="宋体" w:cs="宋体"/>
              </w:rPr>
            </w:pPr>
            <w:r>
              <w:rPr>
                <w:rFonts w:hint="eastAsia" w:ascii="宋体" w:hAnsi="宋体" w:eastAsia="宋体" w:cs="宋体"/>
              </w:rPr>
              <w:t>1</w:t>
            </w:r>
            <w:r>
              <w:rPr>
                <w:rFonts w:ascii="宋体" w:hAnsi="宋体" w:eastAsia="宋体" w:cs="宋体"/>
              </w:rPr>
              <w:t>4</w:t>
            </w:r>
          </w:p>
        </w:tc>
        <w:tc>
          <w:tcPr>
            <w:tcW w:w="1858" w:type="dxa"/>
            <w:vAlign w:val="center"/>
          </w:tcPr>
          <w:p w14:paraId="19BD4B86">
            <w:pPr>
              <w:spacing w:line="360" w:lineRule="exact"/>
              <w:jc w:val="center"/>
              <w:rPr>
                <w:rFonts w:ascii="宋体" w:hAnsi="宋体" w:eastAsia="宋体" w:cs="宋体"/>
                <w:color w:val="auto"/>
              </w:rPr>
            </w:pPr>
            <w:r>
              <w:rPr>
                <w:rFonts w:hint="eastAsia" w:ascii="宋体" w:hAnsi="宋体" w:eastAsia="宋体" w:cs="宋体"/>
                <w:color w:val="auto"/>
              </w:rPr>
              <w:t>最高比选申请</w:t>
            </w:r>
          </w:p>
          <w:p w14:paraId="4796DAF4">
            <w:pPr>
              <w:spacing w:line="360" w:lineRule="exact"/>
              <w:jc w:val="center"/>
              <w:rPr>
                <w:rFonts w:ascii="宋体" w:hAnsi="宋体" w:eastAsia="宋体" w:cs="宋体"/>
              </w:rPr>
            </w:pPr>
            <w:r>
              <w:rPr>
                <w:rFonts w:hint="eastAsia" w:ascii="宋体" w:hAnsi="宋体" w:eastAsia="宋体" w:cs="宋体"/>
                <w:color w:val="auto"/>
              </w:rPr>
              <w:t>限价</w:t>
            </w:r>
          </w:p>
        </w:tc>
        <w:tc>
          <w:tcPr>
            <w:tcW w:w="6505" w:type="dxa"/>
            <w:vAlign w:val="center"/>
          </w:tcPr>
          <w:p w14:paraId="1D406D79">
            <w:pPr>
              <w:pStyle w:val="50"/>
              <w:spacing w:line="360" w:lineRule="exact"/>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rPr>
              <w:t>最高比选申请限价：报价比例的100%</w:t>
            </w:r>
            <w:r>
              <w:rPr>
                <w:rFonts w:hint="eastAsia" w:ascii="宋体" w:hAnsi="宋体" w:eastAsia="宋体" w:cs="宋体"/>
                <w:b/>
                <w:bCs/>
                <w:color w:val="auto"/>
                <w:sz w:val="21"/>
                <w:szCs w:val="21"/>
              </w:rPr>
              <w:t>。</w:t>
            </w:r>
          </w:p>
          <w:p w14:paraId="342AE9CE">
            <w:pPr>
              <w:pStyle w:val="21"/>
            </w:pPr>
            <w:r>
              <w:rPr>
                <w:rFonts w:hint="eastAsia"/>
                <w:snapToGrid w:val="0"/>
                <w:sz w:val="21"/>
                <w:szCs w:val="21"/>
              </w:rPr>
              <w:t>注：比选人</w:t>
            </w:r>
            <w:r>
              <w:rPr>
                <w:rFonts w:hint="eastAsia"/>
                <w:sz w:val="21"/>
              </w:rPr>
              <w:t>每月至少一次对供应商的食材报价与绵阳市发展和改革委员会网站上公布的离抽样时间最近一次的《绵阳城区主副食品民生价格信息行情》中七家农贸市场的平均价格为市场基准价进行抽样对比，如网站上无抽样的同类同质食材，则与绵阳市涪城区、游仙区及江油市范围内批发市场、大型超市（如永辉、汇星、龙门批发市场等）同类同质食材的不少于三家的市场零售价的平均价为市场基准价进行对比，供应商提供的食材报价超过为市场基准价1</w:t>
            </w:r>
            <w:r>
              <w:rPr>
                <w:sz w:val="21"/>
              </w:rPr>
              <w:t>0%且无法在三个工作日内提供让比选人同意认可的合理有效书面情况说明</w:t>
            </w:r>
            <w:r>
              <w:rPr>
                <w:rFonts w:hint="eastAsia"/>
                <w:sz w:val="21"/>
              </w:rPr>
              <w:t>的，将视为违约，相关违约条款详见合同</w:t>
            </w:r>
            <w:r>
              <w:rPr>
                <w:rFonts w:hint="eastAsia"/>
                <w:snapToGrid w:val="0"/>
                <w:sz w:val="21"/>
                <w:szCs w:val="21"/>
              </w:rPr>
              <w:t>。</w:t>
            </w:r>
          </w:p>
        </w:tc>
      </w:tr>
      <w:tr w14:paraId="7996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49" w:type="dxa"/>
            <w:vAlign w:val="center"/>
          </w:tcPr>
          <w:p w14:paraId="2DD0D44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5</w:t>
            </w:r>
          </w:p>
        </w:tc>
        <w:tc>
          <w:tcPr>
            <w:tcW w:w="1858" w:type="dxa"/>
            <w:vAlign w:val="center"/>
          </w:tcPr>
          <w:p w14:paraId="7249DCA6">
            <w:pPr>
              <w:spacing w:line="360" w:lineRule="exact"/>
              <w:jc w:val="center"/>
              <w:rPr>
                <w:rFonts w:ascii="宋体" w:hAnsi="宋体" w:eastAsia="宋体" w:cs="宋体"/>
                <w:color w:val="auto"/>
              </w:rPr>
            </w:pPr>
            <w:r>
              <w:rPr>
                <w:rFonts w:hint="eastAsia" w:ascii="宋体" w:hAnsi="宋体" w:eastAsia="宋体" w:cs="宋体"/>
                <w:color w:val="auto"/>
              </w:rPr>
              <w:t>市场基准价的确定</w:t>
            </w:r>
          </w:p>
        </w:tc>
        <w:tc>
          <w:tcPr>
            <w:tcW w:w="6505" w:type="dxa"/>
            <w:vAlign w:val="center"/>
          </w:tcPr>
          <w:p w14:paraId="435126CE">
            <w:pPr>
              <w:spacing w:line="360" w:lineRule="exact"/>
              <w:jc w:val="both"/>
              <w:rPr>
                <w:rFonts w:ascii="宋体" w:hAnsi="宋体" w:eastAsia="宋体" w:cs="宋体"/>
              </w:rPr>
            </w:pPr>
            <w:r>
              <w:rPr>
                <w:rFonts w:ascii="宋体" w:hAnsi="宋体" w:eastAsia="宋体" w:cs="宋体"/>
              </w:rPr>
              <w:t>1</w:t>
            </w:r>
            <w:r>
              <w:rPr>
                <w:rFonts w:hint="eastAsia" w:ascii="宋体" w:hAnsi="宋体" w:eastAsia="宋体" w:cs="宋体"/>
              </w:rPr>
              <w:t>、市场基准价以绵阳市发展和改革委员会网站上公布的《绵阳城区主副食品民生价格信息行情》中七家农贸市场的平均价格为计算依据，如网站上无比选人所需的同类同质食材，双方对所供食材开展一次零售价抽样调查，以绵阳市涪城区、游仙区及江油市范围内不少于三家批发市场、大型商超的单个同类同质商品（不含活动期间优惠商品）的市场零售价的平均价为计算依据。</w:t>
            </w:r>
          </w:p>
          <w:p w14:paraId="4E8E012C">
            <w:pPr>
              <w:spacing w:line="360" w:lineRule="exact"/>
              <w:jc w:val="both"/>
            </w:pPr>
            <w:r>
              <w:rPr>
                <w:rFonts w:ascii="宋体" w:hAnsi="宋体" w:eastAsia="宋体" w:cs="宋体"/>
              </w:rPr>
              <w:t>2</w:t>
            </w:r>
            <w:r>
              <w:rPr>
                <w:rFonts w:hint="eastAsia" w:ascii="宋体" w:hAnsi="宋体" w:eastAsia="宋体" w:cs="宋体"/>
              </w:rPr>
              <w:t>、市场基准价从合同签订之日起，每月抽样对比时以最近一次网站上公布的和市场调查的平均价格进行计算；每月结算时以最近四次网站上公布的和最近一次市场调查的平均价格进行计算；</w:t>
            </w:r>
          </w:p>
        </w:tc>
      </w:tr>
      <w:tr w14:paraId="735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49" w:type="dxa"/>
            <w:vAlign w:val="center"/>
          </w:tcPr>
          <w:p w14:paraId="69DA793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6</w:t>
            </w:r>
          </w:p>
        </w:tc>
        <w:tc>
          <w:tcPr>
            <w:tcW w:w="1858" w:type="dxa"/>
            <w:vAlign w:val="center"/>
          </w:tcPr>
          <w:p w14:paraId="2AC3EFC2">
            <w:pPr>
              <w:spacing w:line="360" w:lineRule="exact"/>
              <w:jc w:val="center"/>
              <w:rPr>
                <w:rFonts w:ascii="宋体" w:hAnsi="宋体" w:eastAsia="宋体" w:cs="宋体"/>
                <w:color w:val="auto"/>
              </w:rPr>
            </w:pPr>
            <w:r>
              <w:rPr>
                <w:rFonts w:hint="eastAsia" w:ascii="宋体" w:hAnsi="宋体" w:eastAsia="宋体" w:cs="宋体"/>
                <w:color w:val="auto"/>
              </w:rPr>
              <w:t>中标原则</w:t>
            </w:r>
          </w:p>
        </w:tc>
        <w:tc>
          <w:tcPr>
            <w:tcW w:w="6505" w:type="dxa"/>
            <w:vAlign w:val="center"/>
          </w:tcPr>
          <w:p w14:paraId="3BDC3297">
            <w:pPr>
              <w:spacing w:line="360" w:lineRule="exact"/>
              <w:jc w:val="both"/>
              <w:rPr>
                <w:rFonts w:ascii="宋体" w:hAnsi="宋体" w:eastAsia="宋体" w:cs="宋体"/>
                <w:color w:val="auto"/>
              </w:rPr>
            </w:pPr>
            <w:r>
              <w:rPr>
                <w:rFonts w:hint="eastAsia" w:ascii="宋体" w:hAnsi="宋体" w:eastAsia="宋体" w:cs="宋体"/>
                <w:color w:val="auto"/>
              </w:rPr>
              <w:t>比选人按照评标委员会评审后综合得分高低顺序推荐的中标候选人确定中标人</w:t>
            </w:r>
          </w:p>
        </w:tc>
      </w:tr>
      <w:tr w14:paraId="2690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9" w:type="dxa"/>
            <w:vAlign w:val="center"/>
          </w:tcPr>
          <w:p w14:paraId="1802A32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7</w:t>
            </w:r>
          </w:p>
        </w:tc>
        <w:tc>
          <w:tcPr>
            <w:tcW w:w="1858" w:type="dxa"/>
            <w:vAlign w:val="center"/>
          </w:tcPr>
          <w:p w14:paraId="4CE2F60D">
            <w:pPr>
              <w:spacing w:line="360" w:lineRule="exact"/>
              <w:jc w:val="center"/>
              <w:rPr>
                <w:rFonts w:ascii="宋体" w:hAnsi="宋体" w:eastAsia="宋体" w:cs="宋体"/>
                <w:color w:val="auto"/>
              </w:rPr>
            </w:pPr>
            <w:r>
              <w:rPr>
                <w:rFonts w:hint="eastAsia" w:ascii="宋体" w:hAnsi="宋体" w:eastAsia="宋体" w:cs="宋体"/>
                <w:color w:val="auto"/>
                <w:lang w:val="zh-CN"/>
              </w:rPr>
              <w:t>标准和规范</w:t>
            </w:r>
          </w:p>
        </w:tc>
        <w:tc>
          <w:tcPr>
            <w:tcW w:w="6505" w:type="dxa"/>
            <w:vAlign w:val="center"/>
          </w:tcPr>
          <w:p w14:paraId="761A2EBB">
            <w:pPr>
              <w:spacing w:line="360" w:lineRule="exact"/>
              <w:jc w:val="both"/>
            </w:pPr>
            <w:r>
              <w:rPr>
                <w:rFonts w:hint="eastAsia" w:ascii="宋体" w:hAnsi="宋体" w:eastAsia="宋体" w:cs="宋体"/>
                <w:color w:val="auto"/>
              </w:rPr>
              <w:t>在比选文件中有未提及到的细节或比选文件中任何条款的叙述中没有明确的规定的，都视为是指国家（或部颁行业）的标准和规范。</w:t>
            </w:r>
          </w:p>
        </w:tc>
      </w:tr>
      <w:tr w14:paraId="02E1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9" w:type="dxa"/>
            <w:vAlign w:val="center"/>
          </w:tcPr>
          <w:p w14:paraId="731D925B">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8</w:t>
            </w:r>
          </w:p>
        </w:tc>
        <w:tc>
          <w:tcPr>
            <w:tcW w:w="1858" w:type="dxa"/>
            <w:vAlign w:val="center"/>
          </w:tcPr>
          <w:p w14:paraId="60805C78">
            <w:pPr>
              <w:spacing w:line="360" w:lineRule="exact"/>
              <w:jc w:val="center"/>
              <w:rPr>
                <w:rFonts w:ascii="宋体" w:hAnsi="宋体" w:eastAsia="宋体" w:cs="宋体"/>
                <w:color w:val="auto"/>
              </w:rPr>
            </w:pPr>
            <w:r>
              <w:rPr>
                <w:rFonts w:hint="eastAsia" w:ascii="宋体" w:hAnsi="宋体" w:eastAsia="宋体" w:cs="宋体"/>
                <w:color w:val="auto"/>
              </w:rPr>
              <w:t>增值税税金</w:t>
            </w:r>
          </w:p>
          <w:p w14:paraId="0F1E6FD3">
            <w:pPr>
              <w:spacing w:line="360" w:lineRule="exact"/>
              <w:jc w:val="center"/>
              <w:rPr>
                <w:rFonts w:ascii="宋体" w:hAnsi="宋体" w:eastAsia="宋体" w:cs="宋体"/>
                <w:color w:val="auto"/>
              </w:rPr>
            </w:pPr>
            <w:r>
              <w:rPr>
                <w:rFonts w:hint="eastAsia" w:ascii="宋体" w:hAnsi="宋体" w:eastAsia="宋体" w:cs="宋体"/>
                <w:color w:val="auto"/>
              </w:rPr>
              <w:t>计算方法</w:t>
            </w:r>
          </w:p>
        </w:tc>
        <w:tc>
          <w:tcPr>
            <w:tcW w:w="6505" w:type="dxa"/>
            <w:vAlign w:val="center"/>
          </w:tcPr>
          <w:p w14:paraId="3787DE33">
            <w:pPr>
              <w:spacing w:line="360" w:lineRule="exact"/>
              <w:jc w:val="both"/>
              <w:rPr>
                <w:rFonts w:ascii="宋体" w:hAnsi="宋体" w:eastAsia="宋体" w:cs="宋体"/>
                <w:color w:val="auto"/>
              </w:rPr>
            </w:pPr>
            <w:r>
              <w:rPr>
                <w:rFonts w:hint="eastAsia" w:ascii="宋体" w:hAnsi="宋体" w:eastAsia="宋体" w:cs="宋体"/>
                <w:color w:val="auto"/>
              </w:rPr>
              <w:t>一般计税法。</w:t>
            </w:r>
          </w:p>
        </w:tc>
      </w:tr>
      <w:tr w14:paraId="6455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49" w:type="dxa"/>
            <w:vAlign w:val="center"/>
          </w:tcPr>
          <w:p w14:paraId="45D1B9C6">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9</w:t>
            </w:r>
          </w:p>
        </w:tc>
        <w:tc>
          <w:tcPr>
            <w:tcW w:w="1858" w:type="dxa"/>
            <w:vAlign w:val="center"/>
          </w:tcPr>
          <w:p w14:paraId="0041B781">
            <w:pPr>
              <w:spacing w:line="360" w:lineRule="exact"/>
              <w:jc w:val="center"/>
              <w:rPr>
                <w:rFonts w:ascii="宋体" w:hAnsi="宋体" w:eastAsia="宋体" w:cs="宋体"/>
              </w:rPr>
            </w:pPr>
            <w:r>
              <w:rPr>
                <w:rFonts w:hint="eastAsia" w:ascii="宋体" w:hAnsi="宋体" w:eastAsia="宋体" w:cs="宋体"/>
              </w:rPr>
              <w:t>比选申请文件</w:t>
            </w:r>
          </w:p>
          <w:p w14:paraId="0F3FE733">
            <w:pPr>
              <w:spacing w:line="360" w:lineRule="exact"/>
              <w:jc w:val="center"/>
              <w:rPr>
                <w:rFonts w:ascii="宋体" w:hAnsi="宋体" w:eastAsia="宋体" w:cs="宋体"/>
              </w:rPr>
            </w:pPr>
            <w:r>
              <w:rPr>
                <w:rFonts w:hint="eastAsia" w:ascii="宋体" w:hAnsi="宋体" w:eastAsia="宋体" w:cs="宋体"/>
              </w:rPr>
              <w:t>份数</w:t>
            </w:r>
          </w:p>
        </w:tc>
        <w:tc>
          <w:tcPr>
            <w:tcW w:w="6505" w:type="dxa"/>
            <w:vAlign w:val="center"/>
          </w:tcPr>
          <w:p w14:paraId="54CBD5A5">
            <w:pPr>
              <w:pStyle w:val="22"/>
              <w:spacing w:before="0" w:beforeAutospacing="0" w:after="0" w:afterAutospacing="0" w:line="360" w:lineRule="exact"/>
              <w:rPr>
                <w:rFonts w:eastAsia="宋体"/>
                <w:sz w:val="21"/>
                <w:szCs w:val="21"/>
              </w:rPr>
            </w:pPr>
            <w:r>
              <w:rPr>
                <w:rFonts w:hint="eastAsia" w:eastAsia="宋体"/>
                <w:color w:val="auto"/>
                <w:spacing w:val="-3"/>
                <w:sz w:val="21"/>
                <w:szCs w:val="21"/>
              </w:rPr>
              <w:t>正本壹份，副本壹份</w:t>
            </w:r>
          </w:p>
        </w:tc>
      </w:tr>
      <w:tr w14:paraId="77BD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jc w:val="center"/>
        </w:trPr>
        <w:tc>
          <w:tcPr>
            <w:tcW w:w="749" w:type="dxa"/>
            <w:vAlign w:val="center"/>
          </w:tcPr>
          <w:p w14:paraId="24F45A76">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0</w:t>
            </w:r>
          </w:p>
        </w:tc>
        <w:tc>
          <w:tcPr>
            <w:tcW w:w="1858" w:type="dxa"/>
            <w:vAlign w:val="center"/>
          </w:tcPr>
          <w:p w14:paraId="4057074D">
            <w:pPr>
              <w:pStyle w:val="50"/>
              <w:spacing w:line="360" w:lineRule="exact"/>
              <w:jc w:val="center"/>
              <w:rPr>
                <w:rFonts w:ascii="宋体" w:hAnsi="宋体" w:eastAsia="宋体" w:cs="宋体"/>
                <w:color w:val="auto"/>
                <w:sz w:val="21"/>
                <w:szCs w:val="21"/>
                <w:lang w:val="en-US"/>
              </w:rPr>
            </w:pPr>
            <w:r>
              <w:rPr>
                <w:rFonts w:hint="eastAsia" w:ascii="宋体" w:hAnsi="宋体" w:eastAsia="宋体" w:cs="宋体"/>
                <w:color w:val="auto"/>
              </w:rPr>
              <w:t>低价投标的处理</w:t>
            </w:r>
          </w:p>
        </w:tc>
        <w:tc>
          <w:tcPr>
            <w:tcW w:w="6505" w:type="dxa"/>
            <w:vAlign w:val="center"/>
          </w:tcPr>
          <w:p w14:paraId="106612AA">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在评审过程中，投标人的报价明显低于其他通过符合性审查的有效投标人的报价，有可能影响产品质量或者不能诚信履约的，评标委员会应当要求其在评审现场及合理的时间内提供成本构成书面说明，并提交相关证明材料。投标人书面说明应当按照国家财务会计制度的规定要求，逐项就投标人提供的服务的主营业务成本（应根据投标人企业类型予以区别）、税金及附加、销售费用、管理费用、财务费用等成本构成事项详细陈述。</w:t>
            </w:r>
          </w:p>
          <w:p w14:paraId="318CBB5E">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FF7A5D0">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330B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749" w:type="dxa"/>
            <w:vAlign w:val="center"/>
          </w:tcPr>
          <w:p w14:paraId="419DFFBE">
            <w:pPr>
              <w:spacing w:line="360" w:lineRule="exact"/>
              <w:jc w:val="center"/>
              <w:rPr>
                <w:rFonts w:ascii="宋体" w:hAnsi="宋体" w:eastAsia="宋体" w:cs="宋体"/>
              </w:rPr>
            </w:pPr>
            <w:r>
              <w:rPr>
                <w:rFonts w:ascii="宋体" w:hAnsi="宋体" w:eastAsia="宋体" w:cs="宋体"/>
              </w:rPr>
              <w:t>21</w:t>
            </w:r>
          </w:p>
        </w:tc>
        <w:tc>
          <w:tcPr>
            <w:tcW w:w="1858" w:type="dxa"/>
            <w:vAlign w:val="center"/>
          </w:tcPr>
          <w:p w14:paraId="4E32CF79">
            <w:pPr>
              <w:pStyle w:val="50"/>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文件的编制、签署和盖章</w:t>
            </w:r>
          </w:p>
        </w:tc>
        <w:tc>
          <w:tcPr>
            <w:tcW w:w="6505" w:type="dxa"/>
            <w:vAlign w:val="center"/>
          </w:tcPr>
          <w:p w14:paraId="0ABB4070">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文件应按“</w:t>
            </w:r>
            <w:r>
              <w:rPr>
                <w:rFonts w:hint="eastAsia" w:ascii="宋体" w:hAnsi="宋体" w:eastAsia="宋体" w:cs="宋体"/>
                <w:color w:val="auto"/>
                <w:sz w:val="21"/>
                <w:szCs w:val="21"/>
                <w:lang w:val="en-US"/>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文件格式”要求进行编写。</w:t>
            </w:r>
          </w:p>
          <w:p w14:paraId="5A79DA49">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）单位公章其内容必须与单位营业执照名称一致；</w:t>
            </w:r>
          </w:p>
          <w:p w14:paraId="7DA31278">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）法定代表人或其委托代理人必须在</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文件上所有要求签署的地方签署</w:t>
            </w:r>
            <w:r>
              <w:rPr>
                <w:rFonts w:hint="eastAsia" w:ascii="宋体" w:hAnsi="宋体" w:eastAsia="宋体" w:cs="宋体"/>
                <w:color w:val="auto"/>
                <w:sz w:val="21"/>
                <w:szCs w:val="21"/>
                <w:lang w:val="en-US"/>
              </w:rPr>
              <w:t>或加盖个人电子印章</w:t>
            </w:r>
            <w:r>
              <w:rPr>
                <w:rFonts w:hint="eastAsia" w:ascii="宋体" w:hAnsi="宋体" w:eastAsia="宋体" w:cs="宋体"/>
                <w:color w:val="auto"/>
                <w:sz w:val="21"/>
                <w:szCs w:val="21"/>
              </w:rPr>
              <w:t>；</w:t>
            </w:r>
          </w:p>
          <w:p w14:paraId="30E95E31">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文件上所有要求盖章的地方都须加盖比选申请人单位公章</w:t>
            </w:r>
            <w:r>
              <w:rPr>
                <w:rFonts w:hint="eastAsia" w:ascii="宋体" w:hAnsi="宋体" w:eastAsia="宋体" w:cs="宋体"/>
                <w:color w:val="auto"/>
                <w:sz w:val="21"/>
                <w:szCs w:val="21"/>
                <w:lang w:val="en-US"/>
              </w:rPr>
              <w:t>或加盖单位电子印章</w:t>
            </w:r>
            <w:r>
              <w:rPr>
                <w:rFonts w:hint="eastAsia" w:ascii="宋体" w:hAnsi="宋体" w:eastAsia="宋体" w:cs="宋体"/>
                <w:color w:val="auto"/>
                <w:sz w:val="21"/>
                <w:szCs w:val="21"/>
              </w:rPr>
              <w:t>；</w:t>
            </w:r>
          </w:p>
          <w:p w14:paraId="0A5C5ECE">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z w:val="21"/>
                <w:szCs w:val="21"/>
              </w:rPr>
              <w:t>（5）比选申请文件中的任何改动之处应加盖单位公章或加盖单位电子印章或由比选申请人的法定代表人或其委托代理人签字确认或加盖个人电子印章。</w:t>
            </w:r>
          </w:p>
        </w:tc>
      </w:tr>
      <w:tr w14:paraId="6751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9" w:type="dxa"/>
            <w:vAlign w:val="center"/>
          </w:tcPr>
          <w:p w14:paraId="5416F6E0">
            <w:pPr>
              <w:spacing w:line="360" w:lineRule="exact"/>
              <w:jc w:val="center"/>
              <w:rPr>
                <w:rFonts w:ascii="宋体" w:hAnsi="宋体" w:eastAsia="宋体" w:cs="宋体"/>
              </w:rPr>
            </w:pPr>
            <w:r>
              <w:rPr>
                <w:rFonts w:ascii="宋体" w:hAnsi="宋体" w:eastAsia="宋体" w:cs="宋体"/>
              </w:rPr>
              <w:t>22</w:t>
            </w:r>
          </w:p>
        </w:tc>
        <w:tc>
          <w:tcPr>
            <w:tcW w:w="1858" w:type="dxa"/>
            <w:vAlign w:val="center"/>
          </w:tcPr>
          <w:p w14:paraId="0B3231F8">
            <w:pPr>
              <w:pStyle w:val="50"/>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rPr>
              <w:t>开标时间和地点</w:t>
            </w:r>
          </w:p>
        </w:tc>
        <w:tc>
          <w:tcPr>
            <w:tcW w:w="6505" w:type="dxa"/>
            <w:vAlign w:val="center"/>
          </w:tcPr>
          <w:p w14:paraId="602D14C8">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详见公告，同比选申请文件截止时间及地点</w:t>
            </w:r>
          </w:p>
        </w:tc>
      </w:tr>
      <w:tr w14:paraId="7A0A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9" w:type="dxa"/>
            <w:vAlign w:val="center"/>
          </w:tcPr>
          <w:p w14:paraId="6229741F">
            <w:pPr>
              <w:spacing w:line="360" w:lineRule="exact"/>
              <w:jc w:val="center"/>
              <w:rPr>
                <w:rFonts w:ascii="宋体" w:hAnsi="宋体" w:eastAsia="宋体" w:cs="宋体"/>
              </w:rPr>
            </w:pPr>
            <w:r>
              <w:rPr>
                <w:rFonts w:ascii="宋体" w:hAnsi="宋体" w:eastAsia="宋体" w:cs="宋体"/>
              </w:rPr>
              <w:t>23</w:t>
            </w:r>
          </w:p>
        </w:tc>
        <w:tc>
          <w:tcPr>
            <w:tcW w:w="1858" w:type="dxa"/>
            <w:vAlign w:val="center"/>
          </w:tcPr>
          <w:p w14:paraId="37508F60">
            <w:pPr>
              <w:spacing w:line="360" w:lineRule="exact"/>
              <w:jc w:val="center"/>
              <w:rPr>
                <w:rFonts w:ascii="宋体" w:hAnsi="宋体" w:eastAsia="宋体" w:cs="宋体"/>
              </w:rPr>
            </w:pPr>
            <w:r>
              <w:rPr>
                <w:rFonts w:hint="eastAsia" w:ascii="宋体" w:hAnsi="宋体" w:eastAsia="宋体" w:cs="宋体"/>
                <w:color w:val="auto"/>
              </w:rPr>
              <w:t>评审委员</w:t>
            </w:r>
          </w:p>
          <w:p w14:paraId="3840CBE9">
            <w:pPr>
              <w:spacing w:line="360" w:lineRule="exact"/>
              <w:jc w:val="center"/>
              <w:rPr>
                <w:rFonts w:ascii="宋体" w:hAnsi="宋体" w:eastAsia="宋体" w:cs="宋体"/>
              </w:rPr>
            </w:pPr>
            <w:r>
              <w:rPr>
                <w:rFonts w:hint="eastAsia" w:ascii="宋体" w:hAnsi="宋体" w:eastAsia="宋体" w:cs="宋体"/>
                <w:color w:val="auto"/>
              </w:rPr>
              <w:t>会构成</w:t>
            </w:r>
          </w:p>
        </w:tc>
        <w:tc>
          <w:tcPr>
            <w:tcW w:w="6505" w:type="dxa"/>
            <w:vAlign w:val="center"/>
          </w:tcPr>
          <w:p w14:paraId="73A08504">
            <w:pPr>
              <w:pStyle w:val="5"/>
              <w:keepNext w:val="0"/>
              <w:keepLines w:val="0"/>
              <w:kinsoku/>
              <w:spacing w:before="0" w:after="0" w:line="360" w:lineRule="exact"/>
              <w:rPr>
                <w:rFonts w:ascii="宋体" w:hAnsi="宋体" w:eastAsia="宋体" w:cs="宋体"/>
                <w:b w:val="0"/>
                <w:bCs w:val="0"/>
                <w:sz w:val="21"/>
                <w:szCs w:val="21"/>
              </w:rPr>
            </w:pPr>
            <w:r>
              <w:rPr>
                <w:rFonts w:hint="eastAsia" w:ascii="宋体" w:hAnsi="宋体" w:eastAsia="宋体" w:cs="宋体"/>
                <w:b w:val="0"/>
                <w:bCs w:val="0"/>
                <w:sz w:val="21"/>
                <w:szCs w:val="21"/>
              </w:rPr>
              <w:t>评审委员人数：</w:t>
            </w:r>
            <w:r>
              <w:rPr>
                <w:rFonts w:hint="eastAsia" w:ascii="宋体" w:hAnsi="宋体" w:eastAsia="宋体" w:cs="宋体"/>
                <w:b w:val="0"/>
                <w:bCs w:val="0"/>
                <w:sz w:val="21"/>
                <w:szCs w:val="21"/>
                <w:u w:val="single"/>
              </w:rPr>
              <w:t>5人</w:t>
            </w:r>
            <w:r>
              <w:rPr>
                <w:rFonts w:hint="eastAsia" w:ascii="宋体" w:hAnsi="宋体" w:eastAsia="宋体" w:cs="宋体"/>
                <w:b w:val="0"/>
                <w:bCs w:val="0"/>
                <w:sz w:val="21"/>
                <w:szCs w:val="21"/>
              </w:rPr>
              <w:t>。</w:t>
            </w:r>
          </w:p>
          <w:p w14:paraId="39A0213A">
            <w:pPr>
              <w:pStyle w:val="5"/>
              <w:keepNext w:val="0"/>
              <w:keepLines w:val="0"/>
              <w:kinsoku/>
              <w:spacing w:before="0" w:after="0" w:line="360" w:lineRule="exact"/>
              <w:rPr>
                <w:rFonts w:ascii="宋体" w:hAnsi="宋体" w:eastAsia="宋体" w:cs="宋体"/>
                <w:sz w:val="21"/>
                <w:szCs w:val="21"/>
              </w:rPr>
            </w:pPr>
            <w:r>
              <w:rPr>
                <w:rFonts w:hint="eastAsia" w:ascii="宋体" w:hAnsi="宋体" w:eastAsia="宋体" w:cs="宋体"/>
                <w:b w:val="0"/>
                <w:bCs w:val="0"/>
                <w:sz w:val="21"/>
                <w:szCs w:val="21"/>
              </w:rPr>
              <w:t>评审委员构成：比选人单位相关部门评审委员组成</w:t>
            </w:r>
          </w:p>
        </w:tc>
      </w:tr>
      <w:tr w14:paraId="4702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vAlign w:val="center"/>
          </w:tcPr>
          <w:p w14:paraId="2F98AF6E">
            <w:pPr>
              <w:spacing w:line="360" w:lineRule="exact"/>
              <w:jc w:val="center"/>
              <w:rPr>
                <w:rFonts w:ascii="宋体" w:hAnsi="宋体" w:eastAsia="宋体" w:cs="宋体"/>
              </w:rPr>
            </w:pPr>
            <w:r>
              <w:rPr>
                <w:rFonts w:ascii="宋体" w:hAnsi="宋体" w:eastAsia="宋体" w:cs="宋体"/>
              </w:rPr>
              <w:t>24</w:t>
            </w:r>
          </w:p>
        </w:tc>
        <w:tc>
          <w:tcPr>
            <w:tcW w:w="1858" w:type="dxa"/>
            <w:vAlign w:val="center"/>
          </w:tcPr>
          <w:p w14:paraId="2F1F25EF">
            <w:pPr>
              <w:spacing w:line="360" w:lineRule="exact"/>
              <w:jc w:val="center"/>
              <w:rPr>
                <w:rFonts w:ascii="宋体" w:hAnsi="宋体" w:eastAsia="宋体" w:cs="宋体"/>
              </w:rPr>
            </w:pPr>
            <w:r>
              <w:rPr>
                <w:rFonts w:hint="eastAsia" w:ascii="宋体" w:hAnsi="宋体" w:eastAsia="宋体" w:cs="宋体"/>
              </w:rPr>
              <w:t>评审办法</w:t>
            </w:r>
          </w:p>
        </w:tc>
        <w:tc>
          <w:tcPr>
            <w:tcW w:w="6505" w:type="dxa"/>
            <w:vAlign w:val="center"/>
          </w:tcPr>
          <w:p w14:paraId="3319C846">
            <w:pPr>
              <w:spacing w:line="360" w:lineRule="exact"/>
              <w:rPr>
                <w:rFonts w:ascii="宋体" w:hAnsi="宋体" w:eastAsia="宋体" w:cs="宋体"/>
              </w:rPr>
            </w:pPr>
            <w:r>
              <w:rPr>
                <w:rFonts w:hint="eastAsia" w:ascii="宋体" w:hAnsi="宋体" w:eastAsia="宋体" w:cs="宋体"/>
                <w:color w:val="auto"/>
                <w:spacing w:val="-3"/>
              </w:rPr>
              <w:t>单信封形式，评审办法采用综合评分法，资格后审。</w:t>
            </w:r>
          </w:p>
        </w:tc>
      </w:tr>
      <w:tr w14:paraId="2D73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9" w:type="dxa"/>
            <w:vAlign w:val="center"/>
          </w:tcPr>
          <w:p w14:paraId="1E45718A">
            <w:pPr>
              <w:spacing w:line="360" w:lineRule="exact"/>
              <w:jc w:val="center"/>
              <w:rPr>
                <w:rFonts w:ascii="宋体" w:hAnsi="宋体" w:eastAsia="宋体" w:cs="宋体"/>
              </w:rPr>
            </w:pPr>
            <w:r>
              <w:rPr>
                <w:rFonts w:ascii="宋体" w:hAnsi="宋体" w:eastAsia="宋体" w:cs="宋体"/>
              </w:rPr>
              <w:t>25</w:t>
            </w:r>
          </w:p>
        </w:tc>
        <w:tc>
          <w:tcPr>
            <w:tcW w:w="1858" w:type="dxa"/>
            <w:vAlign w:val="center"/>
          </w:tcPr>
          <w:p w14:paraId="0A7D4B48">
            <w:pPr>
              <w:spacing w:line="360" w:lineRule="exact"/>
              <w:jc w:val="center"/>
              <w:rPr>
                <w:rFonts w:ascii="宋体" w:hAnsi="宋体" w:eastAsia="宋体" w:cs="宋体"/>
              </w:rPr>
            </w:pPr>
            <w:r>
              <w:rPr>
                <w:rFonts w:hint="eastAsia" w:ascii="宋体" w:hAnsi="宋体" w:eastAsia="宋体" w:cs="宋体"/>
              </w:rPr>
              <w:t>比选申请</w:t>
            </w:r>
          </w:p>
          <w:p w14:paraId="0374AA0F">
            <w:pPr>
              <w:spacing w:line="360" w:lineRule="exact"/>
              <w:jc w:val="center"/>
              <w:rPr>
                <w:rFonts w:ascii="宋体" w:hAnsi="宋体" w:eastAsia="宋体" w:cs="宋体"/>
              </w:rPr>
            </w:pPr>
            <w:r>
              <w:rPr>
                <w:rFonts w:hint="eastAsia" w:ascii="宋体" w:hAnsi="宋体" w:eastAsia="宋体" w:cs="宋体"/>
              </w:rPr>
              <w:t>保证金</w:t>
            </w:r>
          </w:p>
        </w:tc>
        <w:tc>
          <w:tcPr>
            <w:tcW w:w="6505" w:type="dxa"/>
            <w:vAlign w:val="center"/>
          </w:tcPr>
          <w:p w14:paraId="616FF809">
            <w:pPr>
              <w:spacing w:line="360" w:lineRule="exact"/>
              <w:rPr>
                <w:rFonts w:ascii="宋体" w:hAnsi="宋体" w:eastAsia="宋体" w:cs="宋体"/>
              </w:rPr>
            </w:pPr>
            <w:r>
              <w:rPr>
                <w:rFonts w:hint="eastAsia" w:ascii="宋体" w:hAnsi="宋体" w:eastAsia="宋体" w:cs="宋体"/>
              </w:rPr>
              <w:t>/</w:t>
            </w:r>
          </w:p>
        </w:tc>
      </w:tr>
      <w:tr w14:paraId="0F6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49" w:type="dxa"/>
            <w:vAlign w:val="center"/>
          </w:tcPr>
          <w:p w14:paraId="0853103F">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6</w:t>
            </w:r>
          </w:p>
        </w:tc>
        <w:tc>
          <w:tcPr>
            <w:tcW w:w="1858" w:type="dxa"/>
            <w:vAlign w:val="center"/>
          </w:tcPr>
          <w:p w14:paraId="677320C5">
            <w:pPr>
              <w:spacing w:line="360" w:lineRule="exact"/>
              <w:jc w:val="center"/>
              <w:rPr>
                <w:rFonts w:ascii="宋体" w:hAnsi="宋体" w:eastAsia="宋体" w:cs="宋体"/>
                <w:color w:val="auto"/>
              </w:rPr>
            </w:pPr>
            <w:r>
              <w:rPr>
                <w:rFonts w:hint="eastAsia" w:ascii="宋体" w:hAnsi="宋体" w:eastAsia="宋体" w:cs="宋体"/>
                <w:color w:val="auto"/>
              </w:rPr>
              <w:t>中选候选人</w:t>
            </w:r>
          </w:p>
          <w:p w14:paraId="6661D447">
            <w:pPr>
              <w:spacing w:line="360" w:lineRule="exact"/>
              <w:jc w:val="center"/>
              <w:rPr>
                <w:rFonts w:ascii="宋体" w:hAnsi="宋体" w:eastAsia="宋体" w:cs="宋体"/>
              </w:rPr>
            </w:pPr>
            <w:r>
              <w:rPr>
                <w:rFonts w:hint="eastAsia" w:ascii="宋体" w:hAnsi="宋体" w:eastAsia="宋体" w:cs="宋体"/>
                <w:color w:val="auto"/>
              </w:rPr>
              <w:t>公示</w:t>
            </w:r>
          </w:p>
        </w:tc>
        <w:tc>
          <w:tcPr>
            <w:tcW w:w="6505" w:type="dxa"/>
            <w:vAlign w:val="center"/>
          </w:tcPr>
          <w:p w14:paraId="1AEF16A8">
            <w:pPr>
              <w:kinsoku/>
              <w:spacing w:line="360" w:lineRule="exact"/>
              <w:ind w:right="3"/>
              <w:rPr>
                <w:rFonts w:ascii="宋体" w:hAnsi="宋体" w:eastAsia="宋体" w:cs="宋体"/>
              </w:rPr>
            </w:pPr>
            <w:r>
              <w:rPr>
                <w:rFonts w:hint="eastAsia" w:ascii="宋体" w:hAnsi="宋体" w:eastAsia="宋体" w:cs="宋体"/>
                <w:color w:val="auto"/>
              </w:rPr>
              <w:t>比选人将评选结果在比选人官网（</w:t>
            </w:r>
            <w:r>
              <w:rPr>
                <w:rFonts w:hint="eastAsia" w:ascii="宋体" w:hAnsi="宋体" w:eastAsia="宋体" w:cs="宋体"/>
                <w:color w:val="auto"/>
                <w:spacing w:val="-3"/>
              </w:rPr>
              <w:t>https://cbgs.scgs.com.cn/</w:t>
            </w:r>
            <w:r>
              <w:rPr>
                <w:rFonts w:hint="eastAsia" w:ascii="宋体" w:hAnsi="宋体" w:eastAsia="宋体" w:cs="宋体"/>
                <w:color w:val="auto"/>
              </w:rPr>
              <w:t>）上公示3个工作日以接受社会公开监督。比选申请人或者其他利害关系人对评选结果有异议的，应当在公示期间提出。</w:t>
            </w:r>
          </w:p>
        </w:tc>
      </w:tr>
      <w:tr w14:paraId="0F32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9" w:type="dxa"/>
            <w:vAlign w:val="center"/>
          </w:tcPr>
          <w:p w14:paraId="163C62E4">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7</w:t>
            </w:r>
          </w:p>
        </w:tc>
        <w:tc>
          <w:tcPr>
            <w:tcW w:w="1858" w:type="dxa"/>
            <w:vAlign w:val="center"/>
          </w:tcPr>
          <w:p w14:paraId="0B9F899B">
            <w:pPr>
              <w:spacing w:line="360" w:lineRule="exact"/>
              <w:jc w:val="center"/>
              <w:rPr>
                <w:rFonts w:ascii="宋体" w:hAnsi="宋体" w:eastAsia="宋体" w:cs="宋体"/>
                <w:color w:val="auto"/>
              </w:rPr>
            </w:pPr>
            <w:r>
              <w:rPr>
                <w:rFonts w:hint="eastAsia" w:ascii="宋体" w:hAnsi="宋体" w:eastAsia="宋体" w:cs="宋体"/>
                <w:color w:val="auto"/>
              </w:rPr>
              <w:t>中选通知书和</w:t>
            </w:r>
          </w:p>
          <w:p w14:paraId="3E11807F">
            <w:pPr>
              <w:spacing w:line="360" w:lineRule="exact"/>
              <w:jc w:val="center"/>
              <w:rPr>
                <w:rFonts w:ascii="宋体" w:hAnsi="宋体" w:eastAsia="宋体" w:cs="宋体"/>
              </w:rPr>
            </w:pPr>
            <w:r>
              <w:rPr>
                <w:rFonts w:hint="eastAsia" w:ascii="宋体" w:hAnsi="宋体" w:eastAsia="宋体" w:cs="宋体"/>
                <w:color w:val="auto"/>
              </w:rPr>
              <w:t>中选结果通知</w:t>
            </w:r>
          </w:p>
        </w:tc>
        <w:tc>
          <w:tcPr>
            <w:tcW w:w="6505" w:type="dxa"/>
            <w:vAlign w:val="center"/>
          </w:tcPr>
          <w:p w14:paraId="3B4ADDDA">
            <w:pPr>
              <w:spacing w:line="360" w:lineRule="exact"/>
              <w:jc w:val="both"/>
              <w:rPr>
                <w:rFonts w:ascii="宋体" w:hAnsi="宋体" w:eastAsia="宋体" w:cs="宋体"/>
              </w:rPr>
            </w:pPr>
            <w:r>
              <w:rPr>
                <w:rFonts w:hint="eastAsia" w:ascii="宋体" w:hAnsi="宋体" w:eastAsia="宋体" w:cs="宋体"/>
                <w:color w:val="auto"/>
              </w:rPr>
              <w:t>中选候选人公示期满，比选申请人对本项目评审结果无异议，由比选人对中选人服务场所、仓储等进行实地勘查无误后，向第一中选候选人发出中选通知书。比选人不再单独发布中选结果通知书。</w:t>
            </w:r>
          </w:p>
        </w:tc>
      </w:tr>
      <w:tr w14:paraId="1B8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9" w:type="dxa"/>
            <w:vAlign w:val="center"/>
          </w:tcPr>
          <w:p w14:paraId="05EC4204">
            <w:pPr>
              <w:spacing w:line="400" w:lineRule="exact"/>
              <w:jc w:val="center"/>
              <w:rPr>
                <w:rFonts w:ascii="宋体" w:hAnsi="宋体" w:eastAsia="宋体" w:cs="宋体"/>
              </w:rPr>
            </w:pPr>
            <w:r>
              <w:rPr>
                <w:rFonts w:hint="eastAsia" w:ascii="宋体" w:hAnsi="宋体" w:eastAsia="宋体" w:cs="宋体"/>
              </w:rPr>
              <w:t>2</w:t>
            </w:r>
            <w:r>
              <w:rPr>
                <w:rFonts w:ascii="宋体" w:hAnsi="宋体" w:eastAsia="宋体" w:cs="宋体"/>
              </w:rPr>
              <w:t>8</w:t>
            </w:r>
          </w:p>
        </w:tc>
        <w:tc>
          <w:tcPr>
            <w:tcW w:w="1858" w:type="dxa"/>
            <w:vAlign w:val="center"/>
          </w:tcPr>
          <w:p w14:paraId="0F5CE23A">
            <w:pPr>
              <w:spacing w:line="400" w:lineRule="exact"/>
              <w:jc w:val="center"/>
              <w:rPr>
                <w:rFonts w:ascii="宋体" w:hAnsi="宋体" w:eastAsia="宋体" w:cs="宋体"/>
                <w:bCs/>
              </w:rPr>
            </w:pPr>
            <w:r>
              <w:rPr>
                <w:rFonts w:hint="eastAsia" w:ascii="宋体" w:hAnsi="宋体" w:eastAsia="宋体" w:cs="宋体"/>
                <w:color w:val="auto"/>
              </w:rPr>
              <w:t>履约保证金</w:t>
            </w:r>
          </w:p>
        </w:tc>
        <w:tc>
          <w:tcPr>
            <w:tcW w:w="6505" w:type="dxa"/>
            <w:vAlign w:val="center"/>
          </w:tcPr>
          <w:p w14:paraId="7C5A040B">
            <w:pPr>
              <w:spacing w:line="360" w:lineRule="exact"/>
              <w:rPr>
                <w:rFonts w:ascii="宋体" w:hAnsi="宋体" w:eastAsia="宋体" w:cs="宋体"/>
                <w:bCs/>
              </w:rPr>
            </w:pPr>
            <w:r>
              <w:rPr>
                <w:rFonts w:hint="eastAsia" w:ascii="宋体" w:hAnsi="宋体" w:eastAsia="宋体" w:cs="宋体"/>
                <w:bCs/>
              </w:rPr>
              <w:t>/</w:t>
            </w:r>
          </w:p>
        </w:tc>
      </w:tr>
      <w:tr w14:paraId="7B01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749" w:type="dxa"/>
            <w:vAlign w:val="center"/>
          </w:tcPr>
          <w:p w14:paraId="5889BCD7">
            <w:pPr>
              <w:spacing w:line="400" w:lineRule="exact"/>
              <w:jc w:val="center"/>
              <w:rPr>
                <w:rFonts w:ascii="宋体" w:hAnsi="宋体" w:eastAsia="宋体" w:cs="宋体"/>
                <w:highlight w:val="yellow"/>
              </w:rPr>
            </w:pPr>
            <w:r>
              <w:rPr>
                <w:rFonts w:hint="eastAsia" w:ascii="宋体" w:hAnsi="宋体" w:eastAsia="宋体" w:cs="宋体"/>
              </w:rPr>
              <w:t>2</w:t>
            </w:r>
            <w:r>
              <w:rPr>
                <w:rFonts w:ascii="宋体" w:hAnsi="宋体" w:eastAsia="宋体" w:cs="宋体"/>
              </w:rPr>
              <w:t>9</w:t>
            </w:r>
          </w:p>
        </w:tc>
        <w:tc>
          <w:tcPr>
            <w:tcW w:w="1858" w:type="dxa"/>
            <w:vAlign w:val="center"/>
          </w:tcPr>
          <w:p w14:paraId="2633BC18">
            <w:pPr>
              <w:spacing w:line="400" w:lineRule="exact"/>
              <w:jc w:val="center"/>
              <w:rPr>
                <w:rFonts w:ascii="宋体" w:hAnsi="宋体" w:eastAsia="宋体" w:cs="宋体"/>
                <w:bCs/>
              </w:rPr>
            </w:pPr>
            <w:r>
              <w:rPr>
                <w:rFonts w:hint="eastAsia" w:ascii="宋体" w:hAnsi="宋体" w:eastAsia="宋体" w:cs="宋体"/>
                <w:bCs/>
              </w:rPr>
              <w:t>签订合同</w:t>
            </w:r>
          </w:p>
        </w:tc>
        <w:tc>
          <w:tcPr>
            <w:tcW w:w="6505" w:type="dxa"/>
            <w:vAlign w:val="center"/>
          </w:tcPr>
          <w:p w14:paraId="44B98CFB">
            <w:pPr>
              <w:spacing w:line="380" w:lineRule="exact"/>
              <w:jc w:val="both"/>
              <w:rPr>
                <w:rFonts w:ascii="宋体" w:hAnsi="宋体" w:eastAsia="宋体" w:cs="宋体"/>
                <w:color w:val="auto"/>
              </w:rPr>
            </w:pPr>
            <w:r>
              <w:rPr>
                <w:rFonts w:hint="eastAsia" w:ascii="宋体" w:hAnsi="宋体" w:eastAsia="宋体" w:cs="宋体"/>
                <w:color w:val="auto"/>
              </w:rPr>
              <w:t>（1）比选人和中选人应自发出中选通知书之日起30日内，按照比选人与中选人约定的时间和地点签署合同协议书。</w:t>
            </w:r>
          </w:p>
          <w:p w14:paraId="25E7CC37">
            <w:pPr>
              <w:spacing w:line="380" w:lineRule="exact"/>
              <w:jc w:val="both"/>
              <w:rPr>
                <w:rFonts w:ascii="宋体" w:hAnsi="宋体" w:eastAsia="宋体" w:cs="宋体"/>
                <w:color w:val="auto"/>
              </w:rPr>
            </w:pPr>
            <w:r>
              <w:rPr>
                <w:rFonts w:hint="eastAsia" w:ascii="宋体" w:hAnsi="宋体" w:eastAsia="宋体" w:cs="宋体"/>
                <w:color w:val="auto"/>
              </w:rPr>
              <w:t>（2）合同文件的份数根据需要由比选人与中选人协商确定。在合同协议书签订之前，比选申请文件和中选通知书将约束双方。</w:t>
            </w:r>
          </w:p>
          <w:p w14:paraId="000A677F">
            <w:pPr>
              <w:pStyle w:val="2"/>
              <w:rPr>
                <w:rFonts w:ascii="宋体" w:hAnsi="宋体" w:cs="宋体"/>
                <w:color w:val="auto"/>
                <w:sz w:val="21"/>
              </w:rPr>
            </w:pPr>
            <w:r>
              <w:rPr>
                <w:rFonts w:hint="eastAsia" w:ascii="宋体" w:hAnsi="宋体" w:cs="宋体"/>
                <w:color w:val="auto"/>
                <w:sz w:val="21"/>
              </w:rPr>
              <w:t>（3）签约合同价为中选报价比例。</w:t>
            </w:r>
            <w:r>
              <w:rPr>
                <w:rFonts w:hint="eastAsia" w:ascii="宋体" w:hAnsi="宋体" w:cs="宋体"/>
                <w:b/>
                <w:color w:val="auto"/>
                <w:sz w:val="21"/>
              </w:rPr>
              <w:t>最终结算金额=供货商供应食材报价*报价比例*月实际采购数量。</w:t>
            </w:r>
          </w:p>
          <w:p w14:paraId="4E9D7E3B">
            <w:pPr>
              <w:pStyle w:val="50"/>
              <w:spacing w:line="360" w:lineRule="exact"/>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bidi="ar-SA"/>
              </w:rPr>
              <w:t>（4）</w:t>
            </w:r>
            <w:r>
              <w:rPr>
                <w:rFonts w:hint="eastAsia" w:ascii="宋体" w:hAnsi="宋体" w:eastAsia="宋体" w:cs="宋体"/>
                <w:b/>
                <w:color w:val="auto"/>
                <w:sz w:val="21"/>
                <w:szCs w:val="21"/>
                <w:lang w:val="en-US" w:bidi="ar-SA"/>
              </w:rPr>
              <w:t>供货</w:t>
            </w:r>
            <w:r>
              <w:rPr>
                <w:rFonts w:hint="eastAsia" w:ascii="宋体" w:hAnsi="宋体" w:eastAsia="宋体" w:cs="宋体"/>
                <w:b/>
                <w:color w:val="auto"/>
                <w:sz w:val="21"/>
                <w:szCs w:val="21"/>
                <w:lang w:val="en-US"/>
              </w:rPr>
              <w:t>商供应食材报价高于市场基准价的，以市场基准价结算</w:t>
            </w:r>
            <w:r>
              <w:rPr>
                <w:rFonts w:hint="eastAsia" w:ascii="宋体" w:hAnsi="宋体" w:eastAsia="宋体" w:cs="宋体"/>
                <w:color w:val="auto"/>
                <w:sz w:val="21"/>
                <w:szCs w:val="21"/>
                <w:lang w:val="en-US"/>
              </w:rPr>
              <w:t>。</w:t>
            </w:r>
          </w:p>
          <w:p w14:paraId="2A939E17">
            <w:pPr>
              <w:rPr>
                <w:rFonts w:eastAsiaTheme="minorEastAsia"/>
              </w:rPr>
            </w:pPr>
          </w:p>
        </w:tc>
      </w:tr>
      <w:tr w14:paraId="145C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9" w:type="dxa"/>
            <w:vAlign w:val="center"/>
          </w:tcPr>
          <w:p w14:paraId="4CAF4456">
            <w:pPr>
              <w:spacing w:line="400" w:lineRule="exact"/>
              <w:jc w:val="center"/>
              <w:rPr>
                <w:rFonts w:ascii="宋体" w:hAnsi="宋体" w:eastAsia="宋体" w:cs="宋体"/>
              </w:rPr>
            </w:pPr>
            <w:r>
              <w:rPr>
                <w:rFonts w:ascii="宋体" w:hAnsi="宋体" w:eastAsia="宋体" w:cs="宋体"/>
              </w:rPr>
              <w:t>30</w:t>
            </w:r>
          </w:p>
        </w:tc>
        <w:tc>
          <w:tcPr>
            <w:tcW w:w="1858" w:type="dxa"/>
            <w:vAlign w:val="center"/>
          </w:tcPr>
          <w:p w14:paraId="6E3F5ECA">
            <w:pPr>
              <w:spacing w:line="400" w:lineRule="exact"/>
              <w:jc w:val="center"/>
              <w:rPr>
                <w:rFonts w:ascii="宋体" w:hAnsi="宋体" w:eastAsia="宋体" w:cs="宋体"/>
                <w:bCs/>
              </w:rPr>
            </w:pPr>
            <w:r>
              <w:rPr>
                <w:rFonts w:hint="eastAsia" w:ascii="宋体" w:hAnsi="宋体" w:eastAsia="宋体" w:cs="宋体"/>
                <w:color w:val="auto"/>
              </w:rPr>
              <w:t>廉政约定</w:t>
            </w:r>
          </w:p>
        </w:tc>
        <w:tc>
          <w:tcPr>
            <w:tcW w:w="6505" w:type="dxa"/>
            <w:vAlign w:val="center"/>
          </w:tcPr>
          <w:p w14:paraId="39F69AEB">
            <w:pPr>
              <w:spacing w:line="360" w:lineRule="exact"/>
              <w:rPr>
                <w:rFonts w:ascii="宋体" w:hAnsi="宋体" w:eastAsia="宋体" w:cs="宋体"/>
                <w:bCs/>
              </w:rPr>
            </w:pPr>
            <w:r>
              <w:rPr>
                <w:rFonts w:hint="eastAsia" w:ascii="宋体" w:hAnsi="宋体" w:eastAsia="宋体" w:cs="宋体"/>
                <w:color w:val="auto"/>
              </w:rPr>
              <w:t>比选申请人不得有对比选人的工作人员进行送礼、回扣贿赂等行为，不得与他人串</w:t>
            </w:r>
            <w:r>
              <w:rPr>
                <w:rFonts w:hint="eastAsia" w:ascii="宋体" w:hAnsi="宋体" w:eastAsia="宋体" w:cs="宋体"/>
                <w:color w:val="auto"/>
                <w:spacing w:val="-6"/>
              </w:rPr>
              <w:t>通比选申请，一经发现, 比选有权废除比选申请人的比选申请文件及可能终止今后的合作,并保留追究其</w:t>
            </w:r>
            <w:r>
              <w:rPr>
                <w:rFonts w:hint="eastAsia" w:ascii="宋体" w:hAnsi="宋体" w:eastAsia="宋体" w:cs="宋体"/>
                <w:color w:val="auto"/>
              </w:rPr>
              <w:t>法律责任的权利。由此产生的法律后果由比选申请人自行负责。</w:t>
            </w:r>
          </w:p>
        </w:tc>
      </w:tr>
      <w:tr w14:paraId="2EF9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9" w:type="dxa"/>
            <w:vAlign w:val="center"/>
          </w:tcPr>
          <w:p w14:paraId="13156279">
            <w:pPr>
              <w:spacing w:line="400" w:lineRule="exact"/>
              <w:jc w:val="center"/>
              <w:rPr>
                <w:rFonts w:ascii="宋体" w:hAnsi="宋体" w:eastAsia="宋体" w:cs="宋体"/>
              </w:rPr>
            </w:pPr>
            <w:r>
              <w:rPr>
                <w:rFonts w:ascii="宋体" w:hAnsi="宋体" w:eastAsia="宋体" w:cs="宋体"/>
              </w:rPr>
              <w:t>31</w:t>
            </w:r>
          </w:p>
        </w:tc>
        <w:tc>
          <w:tcPr>
            <w:tcW w:w="1858" w:type="dxa"/>
            <w:vAlign w:val="center"/>
          </w:tcPr>
          <w:p w14:paraId="771EEDE1">
            <w:pPr>
              <w:spacing w:line="400" w:lineRule="exact"/>
              <w:jc w:val="center"/>
              <w:rPr>
                <w:rFonts w:ascii="宋体" w:hAnsi="宋体" w:eastAsia="宋体" w:cs="宋体"/>
                <w:color w:val="auto"/>
              </w:rPr>
            </w:pPr>
            <w:r>
              <w:rPr>
                <w:rFonts w:hint="eastAsia" w:ascii="宋体" w:hAnsi="宋体" w:eastAsia="宋体" w:cs="宋体"/>
                <w:color w:val="auto"/>
              </w:rPr>
              <w:t>监督部门</w:t>
            </w:r>
          </w:p>
        </w:tc>
        <w:tc>
          <w:tcPr>
            <w:tcW w:w="6505" w:type="dxa"/>
            <w:vAlign w:val="center"/>
          </w:tcPr>
          <w:p w14:paraId="6BF0B1F0">
            <w:pPr>
              <w:spacing w:line="360" w:lineRule="exact"/>
              <w:rPr>
                <w:rFonts w:ascii="宋体" w:hAnsi="宋体" w:eastAsia="宋体" w:cs="宋体"/>
                <w:bCs/>
              </w:rPr>
            </w:pPr>
            <w:r>
              <w:rPr>
                <w:rFonts w:hint="eastAsia" w:ascii="宋体" w:hAnsi="宋体" w:cs="宋体"/>
                <w:color w:val="auto"/>
              </w:rPr>
              <w:t>四川省川北高速公路股份有限公司</w:t>
            </w:r>
            <w:r>
              <w:rPr>
                <w:rFonts w:hint="eastAsia" w:ascii="宋体" w:hAnsi="宋体" w:eastAsia="宋体" w:cs="宋体"/>
                <w:color w:val="auto"/>
              </w:rPr>
              <w:t>绵阳</w:t>
            </w:r>
            <w:r>
              <w:rPr>
                <w:rFonts w:hint="eastAsia" w:cs="宋体"/>
                <w:color w:val="auto"/>
              </w:rPr>
              <w:t>管理处</w:t>
            </w:r>
            <w:r>
              <w:rPr>
                <w:rFonts w:hint="eastAsia" w:ascii="宋体" w:hAnsi="宋体" w:eastAsia="宋体" w:cs="宋体"/>
                <w:color w:val="auto"/>
              </w:rPr>
              <w:t>纪检办</w:t>
            </w:r>
            <w:r>
              <w:rPr>
                <w:rFonts w:hint="eastAsia" w:ascii="宋体" w:hAnsi="宋体" w:cs="宋体"/>
                <w:color w:val="auto"/>
              </w:rPr>
              <w:t>公室</w:t>
            </w:r>
          </w:p>
        </w:tc>
      </w:tr>
      <w:tr w14:paraId="443F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9" w:type="dxa"/>
            <w:vAlign w:val="center"/>
          </w:tcPr>
          <w:p w14:paraId="456DADA9">
            <w:pPr>
              <w:spacing w:line="400" w:lineRule="exact"/>
              <w:jc w:val="center"/>
              <w:rPr>
                <w:rFonts w:ascii="宋体" w:hAnsi="宋体" w:eastAsia="宋体" w:cs="宋体"/>
              </w:rPr>
            </w:pPr>
            <w:r>
              <w:rPr>
                <w:rFonts w:hint="eastAsia" w:ascii="宋体" w:hAnsi="宋体" w:eastAsia="宋体" w:cs="宋体"/>
              </w:rPr>
              <w:t>3</w:t>
            </w:r>
            <w:r>
              <w:rPr>
                <w:rFonts w:ascii="宋体" w:hAnsi="宋体" w:eastAsia="宋体" w:cs="宋体"/>
              </w:rPr>
              <w:t>2</w:t>
            </w:r>
          </w:p>
        </w:tc>
        <w:tc>
          <w:tcPr>
            <w:tcW w:w="1858" w:type="dxa"/>
            <w:vAlign w:val="center"/>
          </w:tcPr>
          <w:p w14:paraId="01BD5F17">
            <w:pPr>
              <w:spacing w:line="400" w:lineRule="exact"/>
              <w:jc w:val="center"/>
              <w:rPr>
                <w:rFonts w:ascii="宋体" w:hAnsi="宋体" w:eastAsia="宋体" w:cs="宋体"/>
                <w:color w:val="auto"/>
              </w:rPr>
            </w:pPr>
            <w:r>
              <w:rPr>
                <w:rFonts w:hint="eastAsia" w:ascii="宋体" w:hAnsi="宋体" w:eastAsia="宋体" w:cs="宋体"/>
                <w:color w:val="auto"/>
              </w:rPr>
              <w:t>其它情况</w:t>
            </w:r>
          </w:p>
        </w:tc>
        <w:tc>
          <w:tcPr>
            <w:tcW w:w="6505" w:type="dxa"/>
            <w:vAlign w:val="center"/>
          </w:tcPr>
          <w:p w14:paraId="35A6E636">
            <w:pPr>
              <w:spacing w:line="360" w:lineRule="exact"/>
              <w:rPr>
                <w:rFonts w:ascii="宋体" w:hAnsi="宋体" w:cs="宋体"/>
                <w:color w:val="auto"/>
              </w:rPr>
            </w:pPr>
            <w:r>
              <w:rPr>
                <w:rFonts w:hint="eastAsia" w:ascii="宋体" w:hAnsi="宋体" w:eastAsia="宋体" w:cs="宋体"/>
                <w:color w:val="auto"/>
              </w:rPr>
              <w:t>/</w:t>
            </w:r>
          </w:p>
        </w:tc>
      </w:tr>
    </w:tbl>
    <w:p w14:paraId="3A912325">
      <w:pPr>
        <w:rPr>
          <w:rFonts w:eastAsiaTheme="minorEastAsia"/>
        </w:rPr>
      </w:pPr>
    </w:p>
    <w:p w14:paraId="2FB5BE87">
      <w:pPr>
        <w:pStyle w:val="2"/>
      </w:pPr>
    </w:p>
    <w:p w14:paraId="5DE4B689">
      <w:pPr>
        <w:rPr>
          <w:rFonts w:eastAsiaTheme="minorEastAsia"/>
        </w:rPr>
      </w:pPr>
    </w:p>
    <w:p w14:paraId="7F1CC0A5">
      <w:pPr>
        <w:pStyle w:val="2"/>
      </w:pPr>
    </w:p>
    <w:p w14:paraId="5C6138A3">
      <w:pPr>
        <w:rPr>
          <w:rFonts w:eastAsiaTheme="minorEastAsia"/>
        </w:rPr>
      </w:pPr>
    </w:p>
    <w:p w14:paraId="35A41F22">
      <w:pPr>
        <w:pStyle w:val="2"/>
      </w:pPr>
    </w:p>
    <w:p w14:paraId="32BC1C3D">
      <w:pPr>
        <w:rPr>
          <w:rFonts w:eastAsiaTheme="minorEastAsia"/>
        </w:rPr>
      </w:pPr>
    </w:p>
    <w:p w14:paraId="117D61AE">
      <w:pPr>
        <w:pStyle w:val="2"/>
      </w:pPr>
    </w:p>
    <w:p w14:paraId="57EE1E90">
      <w:pPr>
        <w:rPr>
          <w:rFonts w:eastAsiaTheme="minorEastAsia"/>
        </w:rPr>
      </w:pPr>
    </w:p>
    <w:p w14:paraId="1C2648CF">
      <w:pPr>
        <w:spacing w:line="480" w:lineRule="exact"/>
        <w:jc w:val="center"/>
        <w:rPr>
          <w:rFonts w:ascii="宋体" w:hAnsi="宋体" w:eastAsia="宋体" w:cs="宋体"/>
          <w:b/>
          <w:bCs/>
          <w:sz w:val="32"/>
          <w:szCs w:val="32"/>
        </w:rPr>
      </w:pPr>
      <w:r>
        <w:rPr>
          <w:rFonts w:hint="eastAsia" w:ascii="宋体" w:hAnsi="宋体" w:eastAsia="宋体" w:cs="宋体"/>
          <w:b/>
          <w:bCs/>
          <w:spacing w:val="28"/>
          <w:sz w:val="32"/>
          <w:szCs w:val="32"/>
        </w:rPr>
        <w:t>二</w:t>
      </w:r>
      <w:r>
        <w:rPr>
          <w:rFonts w:hint="eastAsia" w:ascii="宋体" w:hAnsi="宋体" w:eastAsia="宋体" w:cs="宋体"/>
          <w:b/>
          <w:bCs/>
          <w:spacing w:val="-18"/>
          <w:sz w:val="32"/>
          <w:szCs w:val="32"/>
        </w:rPr>
        <w:t>、比选申请人须知</w:t>
      </w:r>
    </w:p>
    <w:p w14:paraId="12AB6083">
      <w:pPr>
        <w:spacing w:line="480" w:lineRule="exact"/>
        <w:ind w:left="3" w:firstLine="422" w:firstLineChars="200"/>
        <w:rPr>
          <w:rFonts w:ascii="宋体" w:hAnsi="宋体" w:eastAsia="宋体" w:cs="宋体"/>
        </w:rPr>
      </w:pPr>
      <w:r>
        <w:rPr>
          <w:rFonts w:hint="eastAsia" w:ascii="宋体" w:hAnsi="宋体" w:eastAsia="宋体" w:cs="宋体"/>
          <w:b/>
          <w:bCs/>
        </w:rPr>
        <w:t>1.</w:t>
      </w:r>
      <w:r>
        <w:rPr>
          <w:rFonts w:hint="eastAsia" w:ascii="宋体" w:hAnsi="宋体" w:eastAsia="宋体" w:cs="宋体"/>
          <w:spacing w:val="-21"/>
        </w:rPr>
        <w:t xml:space="preserve"> </w:t>
      </w:r>
      <w:r>
        <w:rPr>
          <w:rFonts w:hint="eastAsia" w:ascii="宋体" w:hAnsi="宋体" w:eastAsia="宋体" w:cs="宋体"/>
          <w:b/>
          <w:bCs/>
        </w:rPr>
        <w:t>释义</w:t>
      </w:r>
    </w:p>
    <w:p w14:paraId="44DBC2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本比选文件中下列词语的含义是：</w:t>
      </w:r>
    </w:p>
    <w:p w14:paraId="162BA97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(1)比选：是指比选人事先公布条件和要求，比选申请人按评审办法规定的方式参加项目竞争，比选人通过比较，选择和确定中选人的行为。</w:t>
      </w:r>
    </w:p>
    <w:p w14:paraId="59C8D29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(2)比选人：是提出本比选项目，组织进行比选的法人或者其他组织。</w:t>
      </w:r>
    </w:p>
    <w:p w14:paraId="600B62D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(3)比选文件：由比选人按照有关规定，对比选申请人参加该项目报价提出的条件和要求。</w:t>
      </w:r>
    </w:p>
    <w:p w14:paraId="5115DA4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(4)比选申请人：通过自愿报名或比选邀请参加评审的比选申请人。</w:t>
      </w:r>
    </w:p>
    <w:p w14:paraId="0E38C6E4">
      <w:pPr>
        <w:spacing w:line="480" w:lineRule="exact"/>
        <w:ind w:left="3" w:firstLine="430" w:firstLineChars="200"/>
        <w:rPr>
          <w:rFonts w:ascii="宋体" w:hAnsi="宋体" w:eastAsia="宋体" w:cs="宋体"/>
        </w:rPr>
      </w:pPr>
      <w:r>
        <w:rPr>
          <w:rFonts w:hint="eastAsia" w:ascii="宋体" w:hAnsi="宋体" w:eastAsia="宋体" w:cs="宋体"/>
          <w:b/>
          <w:bCs/>
          <w:spacing w:val="2"/>
        </w:rPr>
        <w:t>2</w:t>
      </w:r>
      <w:r>
        <w:rPr>
          <w:rFonts w:hint="eastAsia" w:ascii="宋体" w:hAnsi="宋体" w:eastAsia="宋体" w:cs="宋体"/>
          <w:spacing w:val="-59"/>
        </w:rPr>
        <w:t xml:space="preserve"> </w:t>
      </w:r>
      <w:r>
        <w:rPr>
          <w:rFonts w:hint="eastAsia" w:ascii="宋体" w:hAnsi="宋体" w:eastAsia="宋体" w:cs="宋体"/>
          <w:b/>
          <w:bCs/>
          <w:spacing w:val="2"/>
        </w:rPr>
        <w:t>.</w:t>
      </w:r>
      <w:r>
        <w:rPr>
          <w:rFonts w:hint="eastAsia" w:ascii="宋体" w:hAnsi="宋体" w:eastAsia="宋体" w:cs="宋体"/>
          <w:spacing w:val="-45"/>
        </w:rPr>
        <w:t xml:space="preserve"> </w:t>
      </w:r>
      <w:r>
        <w:rPr>
          <w:rFonts w:hint="eastAsia" w:ascii="宋体" w:hAnsi="宋体" w:eastAsia="宋体" w:cs="宋体"/>
          <w:b/>
          <w:bCs/>
          <w:spacing w:val="2"/>
        </w:rPr>
        <w:t>比选文件</w:t>
      </w:r>
    </w:p>
    <w:p w14:paraId="3648C55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比选文件的组成：</w:t>
      </w:r>
    </w:p>
    <w:p w14:paraId="5561C8E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(1)比选公告；</w:t>
      </w:r>
    </w:p>
    <w:p w14:paraId="71A562F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(2)比选申请人须知；</w:t>
      </w:r>
    </w:p>
    <w:p w14:paraId="5DE7E3C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(3)评审办法；</w:t>
      </w:r>
    </w:p>
    <w:p w14:paraId="410C609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(4)服务合同条款及格式；</w:t>
      </w:r>
    </w:p>
    <w:p w14:paraId="07EC277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(5)委托人要求；</w:t>
      </w:r>
    </w:p>
    <w:p w14:paraId="4380C18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(6)比选申请文件格式；</w:t>
      </w:r>
    </w:p>
    <w:p w14:paraId="6A739AD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(7)比选文件补遗、澄清、修改通知书等(如有)。</w:t>
      </w:r>
    </w:p>
    <w:p w14:paraId="109F814B">
      <w:pPr>
        <w:spacing w:line="480" w:lineRule="exact"/>
        <w:ind w:left="3" w:firstLine="438" w:firstLineChars="200"/>
        <w:rPr>
          <w:rFonts w:ascii="宋体" w:hAnsi="宋体" w:eastAsia="宋体" w:cs="宋体"/>
        </w:rPr>
      </w:pPr>
      <w:r>
        <w:rPr>
          <w:rFonts w:hint="eastAsia" w:ascii="宋体" w:hAnsi="宋体" w:eastAsia="宋体" w:cs="宋体"/>
          <w:b/>
          <w:bCs/>
          <w:spacing w:val="4"/>
        </w:rPr>
        <w:t>3.比选申请文件</w:t>
      </w:r>
    </w:p>
    <w:p w14:paraId="52C14E6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比选申请文件的组成包含(单信封形式):</w:t>
      </w:r>
    </w:p>
    <w:p w14:paraId="459FDED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(1)第一报价函；</w:t>
      </w:r>
    </w:p>
    <w:p w14:paraId="3B32787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2)单独密封的第二</w:t>
      </w:r>
      <w:r>
        <w:rPr>
          <w:rFonts w:hint="eastAsia" w:ascii="宋体" w:hAnsi="宋体" w:eastAsia="宋体" w:cs="宋体"/>
          <w:color w:val="auto"/>
          <w:spacing w:val="-3"/>
        </w:rPr>
        <w:t>报价函（放入单信封内）</w:t>
      </w:r>
    </w:p>
    <w:p w14:paraId="56FD8D36">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注：</w:t>
      </w:r>
      <w:r>
        <w:rPr>
          <w:rFonts w:hint="eastAsia" w:ascii="宋体" w:hAnsi="宋体" w:eastAsia="宋体" w:cs="宋体"/>
          <w:color w:val="auto"/>
          <w:spacing w:val="-3"/>
        </w:rPr>
        <w:t>当按评选办法规定必须开启第二报价函时，若</w:t>
      </w:r>
      <w:r>
        <w:rPr>
          <w:rFonts w:ascii="宋体" w:hAnsi="宋体" w:eastAsia="宋体" w:cs="宋体"/>
          <w:color w:val="auto"/>
          <w:spacing w:val="-3"/>
        </w:rPr>
        <w:t>第二</w:t>
      </w:r>
      <w:r>
        <w:rPr>
          <w:rFonts w:hint="eastAsia" w:ascii="宋体" w:hAnsi="宋体" w:eastAsia="宋体" w:cs="宋体"/>
          <w:color w:val="auto"/>
          <w:spacing w:val="-3"/>
        </w:rPr>
        <w:t>报价函所报价格等于或小于第一报函的报价，视为有效报价，否则视为无效报价，比选申请人失去中选资格；</w:t>
      </w:r>
    </w:p>
    <w:p w14:paraId="5F0D33D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3)单独密封的第三</w:t>
      </w:r>
      <w:r>
        <w:rPr>
          <w:rFonts w:hint="eastAsia" w:ascii="宋体" w:hAnsi="宋体" w:eastAsia="宋体" w:cs="宋体"/>
          <w:color w:val="auto"/>
          <w:spacing w:val="-3"/>
        </w:rPr>
        <w:t>报价函（放入单信封内）；</w:t>
      </w:r>
    </w:p>
    <w:p w14:paraId="759F1141">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注：</w:t>
      </w:r>
      <w:r>
        <w:rPr>
          <w:rFonts w:hint="eastAsia" w:ascii="宋体" w:hAnsi="宋体" w:eastAsia="宋体" w:cs="宋体"/>
          <w:color w:val="auto"/>
          <w:spacing w:val="-3"/>
        </w:rPr>
        <w:t>当按评选办法规定必须开启第三报价函时，若</w:t>
      </w:r>
      <w:r>
        <w:rPr>
          <w:rFonts w:ascii="宋体" w:hAnsi="宋体" w:eastAsia="宋体" w:cs="宋体"/>
          <w:color w:val="auto"/>
          <w:spacing w:val="-3"/>
        </w:rPr>
        <w:t>第三</w:t>
      </w:r>
      <w:r>
        <w:rPr>
          <w:rFonts w:hint="eastAsia" w:ascii="宋体" w:hAnsi="宋体" w:eastAsia="宋体" w:cs="宋体"/>
          <w:color w:val="auto"/>
          <w:spacing w:val="-3"/>
        </w:rPr>
        <w:t>报价函所报价格等于或小于第二报函的报价，视为有效报价，否则视为无效报价，比选申请人失去中选资格；</w:t>
      </w:r>
    </w:p>
    <w:p w14:paraId="1F0BFAC3">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按评选办法规定不需要开启第二或第三报价函时，默认第二和第三报价函上的报价均为有效报价，且不对其前一报价函产生任何影响，也不对比选申请人的中选资格和结果产生影响。</w:t>
      </w:r>
    </w:p>
    <w:p w14:paraId="4E4C4FD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)法定代表人身份证明或授权委托书；</w:t>
      </w:r>
    </w:p>
    <w:p w14:paraId="22010C4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5</w:t>
      </w:r>
      <w:r>
        <w:rPr>
          <w:rFonts w:hint="eastAsia" w:ascii="宋体" w:hAnsi="宋体" w:eastAsia="宋体" w:cs="宋体"/>
          <w:color w:val="auto"/>
          <w:spacing w:val="-3"/>
        </w:rPr>
        <w:t>)资格审查资料；</w:t>
      </w:r>
    </w:p>
    <w:p w14:paraId="6414745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6</w:t>
      </w:r>
      <w:r>
        <w:rPr>
          <w:rFonts w:hint="eastAsia" w:ascii="宋体" w:hAnsi="宋体" w:eastAsia="宋体" w:cs="宋体"/>
          <w:color w:val="auto"/>
          <w:spacing w:val="-3"/>
        </w:rPr>
        <w:t>)服务方案；</w:t>
      </w:r>
    </w:p>
    <w:p w14:paraId="199219E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7</w:t>
      </w:r>
      <w:r>
        <w:rPr>
          <w:rFonts w:hint="eastAsia" w:ascii="宋体" w:hAnsi="宋体" w:eastAsia="宋体" w:cs="宋体"/>
          <w:color w:val="auto"/>
          <w:spacing w:val="-3"/>
        </w:rPr>
        <w:t>)其他资料(如有)。</w:t>
      </w:r>
    </w:p>
    <w:p w14:paraId="73C6082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比选申请文件编制：</w:t>
      </w:r>
    </w:p>
    <w:p w14:paraId="45894E9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申请文件应按比选文件第六章“比选申请文件格式”进行编制，如有必要，可以增加附页，作为比选申请文件的组成部分。并须将企业证照、业绩证明材料等本比选文件要求的证明文件附于比选申请文件中以方便评审委员会查验。</w:t>
      </w:r>
    </w:p>
    <w:p w14:paraId="10FD26E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注意：比选申请人提供的证明其业绩、资质等的材料在符合规定的前提下需尽量简洁明晰，能证明其资格的材料按要求仅需要其中一种的，因比选申请人全部提供导致增大评审工作量的将酌情扣分。</w:t>
      </w:r>
    </w:p>
    <w:p w14:paraId="5C98ACE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文件除签字外，全部用不褪色的材料打印(证明文件除外),比选申请文件(正本)应逐页连续编码，并由法定代表人或其授权代理人按比选申请文件格式要求签署，不得用签名章代替。比选申请文件格式中要求盖单位章的地方应加盖法人单位章，如有涂改，应由比选申请文件签字人在改动处小签或加盖单位章。</w:t>
      </w:r>
    </w:p>
    <w:p w14:paraId="4A3D8F3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(3)比选申请文件应提交一式</w:t>
      </w:r>
      <w:r>
        <w:rPr>
          <w:rFonts w:hint="eastAsia" w:ascii="宋体" w:hAnsi="宋体" w:eastAsia="宋体" w:cs="宋体"/>
          <w:color w:val="auto"/>
          <w:spacing w:val="-3"/>
          <w:u w:val="single"/>
        </w:rPr>
        <w:t xml:space="preserve"> </w:t>
      </w:r>
      <w:r>
        <w:rPr>
          <w:rFonts w:hint="eastAsia" w:ascii="宋体" w:hAnsi="宋体" w:eastAsia="宋体" w:cs="宋体"/>
          <w:b/>
          <w:bCs/>
          <w:color w:val="auto"/>
          <w:spacing w:val="-3"/>
          <w:u w:val="single"/>
        </w:rPr>
        <w:t>贰</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份，其中</w:t>
      </w:r>
      <w:r>
        <w:rPr>
          <w:rFonts w:hint="eastAsia" w:ascii="宋体" w:hAnsi="宋体" w:eastAsia="宋体" w:cs="宋体"/>
          <w:b/>
          <w:bCs/>
          <w:color w:val="auto"/>
          <w:spacing w:val="-3"/>
        </w:rPr>
        <w:t>正本一份，副本一份</w:t>
      </w:r>
      <w:r>
        <w:rPr>
          <w:rFonts w:hint="eastAsia" w:ascii="宋体" w:hAnsi="宋体" w:eastAsia="宋体" w:cs="宋体"/>
          <w:color w:val="auto"/>
          <w:spacing w:val="-3"/>
        </w:rPr>
        <w:t>(在封面上应分别标明)。比选申请文件副本应由其已编页码并签字的正本复制(复印)而成(包括证明文件；复制件可用黑白件),正副本内容不一致的，以正本为准。</w:t>
      </w:r>
    </w:p>
    <w:p w14:paraId="1A29964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14:paraId="76F4029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3.3 比选申请报价有效期：</w:t>
      </w:r>
    </w:p>
    <w:p w14:paraId="16881C5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比选申请报价有效期为自比选申请人提交比选申请文件截止之日起计算</w:t>
      </w:r>
      <w:r>
        <w:rPr>
          <w:rFonts w:ascii="宋体" w:hAnsi="宋体" w:eastAsia="宋体" w:cs="宋体"/>
          <w:color w:val="auto"/>
          <w:spacing w:val="-3"/>
        </w:rPr>
        <w:t>9</w:t>
      </w:r>
      <w:r>
        <w:rPr>
          <w:rFonts w:hint="eastAsia" w:ascii="宋体" w:hAnsi="宋体" w:eastAsia="宋体" w:cs="宋体"/>
          <w:color w:val="auto"/>
          <w:spacing w:val="-3"/>
        </w:rPr>
        <w:t>0天，在比选申请报价有效期内，比选申请人不得要求撤销或修改其比选申请文件。</w:t>
      </w:r>
    </w:p>
    <w:p w14:paraId="3DD1204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出现特殊情况需要延长比选申请报价有效期的，比选人以书面形式通知所有比选申请人延长比选报价有效期。</w:t>
      </w:r>
    </w:p>
    <w:p w14:paraId="624D68A9">
      <w:pPr>
        <w:spacing w:line="480" w:lineRule="exact"/>
        <w:ind w:left="3" w:firstLine="462" w:firstLineChars="200"/>
        <w:rPr>
          <w:rFonts w:ascii="宋体" w:hAnsi="宋体" w:eastAsia="宋体" w:cs="宋体"/>
        </w:rPr>
      </w:pPr>
      <w:r>
        <w:rPr>
          <w:rFonts w:hint="eastAsia" w:ascii="宋体" w:hAnsi="宋体" w:eastAsia="宋体" w:cs="宋体"/>
          <w:b/>
          <w:bCs/>
          <w:spacing w:val="10"/>
        </w:rPr>
        <w:t>4.</w:t>
      </w:r>
      <w:r>
        <w:rPr>
          <w:rFonts w:hint="eastAsia" w:ascii="宋体" w:hAnsi="宋体" w:eastAsia="宋体" w:cs="宋体"/>
          <w:spacing w:val="-46"/>
        </w:rPr>
        <w:t xml:space="preserve"> </w:t>
      </w:r>
      <w:r>
        <w:rPr>
          <w:rFonts w:hint="eastAsia" w:ascii="宋体" w:hAnsi="宋体" w:eastAsia="宋体" w:cs="宋体"/>
          <w:b/>
          <w:bCs/>
          <w:spacing w:val="10"/>
        </w:rPr>
        <w:t>比选申请报价</w:t>
      </w:r>
    </w:p>
    <w:p w14:paraId="7BA442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4.1 比选申请文件的密封和标识</w:t>
      </w:r>
    </w:p>
    <w:p w14:paraId="119BCD89">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必须用封套进行包装(内含正本及副本，其中第二和第三报价函必须单独密封加盖密封章后放入正、副本封套内),并加贴封条或盖密封章。未按比选文件相关要求密封和标记的比选申请文件将不予签收。</w:t>
      </w:r>
    </w:p>
    <w:p w14:paraId="350240DD">
      <w:pPr>
        <w:kinsoku/>
        <w:spacing w:line="480" w:lineRule="exact"/>
        <w:ind w:right="3" w:firstLine="426" w:firstLineChars="209"/>
        <w:jc w:val="both"/>
      </w:pPr>
      <w:r>
        <w:rPr>
          <w:rFonts w:hint="eastAsia" w:ascii="宋体" w:hAnsi="宋体" w:eastAsia="宋体" w:cs="宋体"/>
          <w:color w:val="auto"/>
          <w:spacing w:val="-3"/>
        </w:rPr>
        <w:t>4.2 比选申请文件封套写明：</w:t>
      </w:r>
    </w:p>
    <w:p w14:paraId="26CBDF9A">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比选人全称：</w:t>
      </w:r>
      <w:r>
        <w:rPr>
          <w:rFonts w:hint="eastAsia" w:ascii="宋体" w:hAnsi="宋体" w:eastAsia="宋体" w:cs="宋体"/>
          <w:color w:val="auto"/>
          <w:spacing w:val="-3"/>
          <w:u w:val="single"/>
        </w:rPr>
        <w:t>四川高速公路建设开发集团有限公司成都分公司</w:t>
      </w:r>
    </w:p>
    <w:p w14:paraId="4EFA243D">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u w:val="single"/>
        </w:rPr>
      </w:pPr>
      <w:r>
        <w:rPr>
          <w:rFonts w:hint="eastAsia" w:ascii="宋体" w:hAnsi="宋体" w:eastAsia="宋体" w:cs="宋体"/>
          <w:color w:val="auto"/>
          <w:spacing w:val="-3"/>
        </w:rPr>
        <w:t>比选人地址：</w:t>
      </w:r>
      <w:r>
        <w:rPr>
          <w:rFonts w:hint="eastAsia" w:ascii="宋体" w:hAnsi="宋体" w:eastAsia="宋体" w:cs="宋体"/>
          <w:color w:val="auto"/>
          <w:spacing w:val="-3"/>
          <w:u w:val="single"/>
        </w:rPr>
        <w:t xml:space="preserve">四川省川北高速公路股份有限公司绵阳管理处（绵阳管理处 </w:t>
      </w:r>
      <w:r>
        <w:rPr>
          <w:rFonts w:ascii="宋体" w:hAnsi="宋体" w:eastAsia="宋体" w:cs="宋体"/>
          <w:color w:val="auto"/>
          <w:spacing w:val="-3"/>
          <w:u w:val="single"/>
        </w:rPr>
        <w:t xml:space="preserve">3 </w:t>
      </w:r>
      <w:r>
        <w:rPr>
          <w:rFonts w:hint="eastAsia" w:ascii="宋体" w:hAnsi="宋体" w:eastAsia="宋体" w:cs="宋体"/>
          <w:color w:val="auto"/>
          <w:spacing w:val="-3"/>
          <w:u w:val="single"/>
        </w:rPr>
        <w:t>楼会议室</w:t>
      </w:r>
      <w:r>
        <w:rPr>
          <w:rFonts w:hint="eastAsia" w:ascii="宋体" w:hAnsi="宋体" w:cs="宋体"/>
          <w:color w:val="auto"/>
          <w:spacing w:val="-3"/>
          <w:u w:val="single"/>
        </w:rPr>
        <w:t>）</w:t>
      </w:r>
    </w:p>
    <w:p w14:paraId="34A77CE5">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绵阳管理处沿线职工食堂2025年度食材采购项目比选申请文件</w:t>
      </w:r>
    </w:p>
    <w:p w14:paraId="556AF260">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在 202</w:t>
      </w:r>
      <w:r>
        <w:rPr>
          <w:rFonts w:ascii="宋体" w:hAnsi="宋体" w:eastAsia="宋体" w:cs="宋体"/>
          <w:color w:val="auto"/>
          <w:spacing w:val="-3"/>
        </w:rPr>
        <w:t xml:space="preserve">5 </w:t>
      </w:r>
      <w:r>
        <w:rPr>
          <w:rFonts w:hint="eastAsia" w:ascii="宋体" w:hAnsi="宋体" w:eastAsia="宋体" w:cs="宋体"/>
          <w:color w:val="auto"/>
          <w:spacing w:val="-3"/>
        </w:rPr>
        <w:t>年</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6</w:t>
      </w:r>
      <w:r>
        <w:rPr>
          <w:rFonts w:ascii="宋体" w:hAnsi="宋体" w:eastAsia="宋体" w:cs="宋体"/>
          <w:color w:val="auto"/>
          <w:spacing w:val="-3"/>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lang w:val="en-US" w:eastAsia="zh-CN"/>
        </w:rPr>
        <w:t>30</w:t>
      </w:r>
      <w:r>
        <w:rPr>
          <w:rFonts w:ascii="宋体" w:hAnsi="宋体" w:eastAsia="宋体" w:cs="宋体"/>
          <w:color w:val="auto"/>
          <w:spacing w:val="-3"/>
        </w:rPr>
        <w:t xml:space="preserve"> </w:t>
      </w:r>
      <w:r>
        <w:rPr>
          <w:rFonts w:hint="eastAsia" w:ascii="宋体" w:hAnsi="宋体" w:eastAsia="宋体" w:cs="宋体"/>
          <w:color w:val="auto"/>
          <w:spacing w:val="-3"/>
        </w:rPr>
        <w:t>日 1</w:t>
      </w:r>
      <w:r>
        <w:rPr>
          <w:rFonts w:ascii="宋体" w:hAnsi="宋体" w:eastAsia="宋体" w:cs="宋体"/>
          <w:color w:val="auto"/>
          <w:spacing w:val="-3"/>
        </w:rPr>
        <w:t xml:space="preserve">0 </w:t>
      </w:r>
      <w:r>
        <w:rPr>
          <w:rFonts w:hint="eastAsia" w:ascii="宋体" w:hAnsi="宋体" w:eastAsia="宋体" w:cs="宋体"/>
          <w:color w:val="auto"/>
          <w:spacing w:val="-3"/>
        </w:rPr>
        <w:t xml:space="preserve">时 </w:t>
      </w:r>
      <w:r>
        <w:rPr>
          <w:rFonts w:ascii="宋体" w:hAnsi="宋体" w:eastAsia="宋体" w:cs="宋体"/>
          <w:color w:val="auto"/>
          <w:spacing w:val="-3"/>
        </w:rPr>
        <w:t>0</w:t>
      </w:r>
      <w:r>
        <w:rPr>
          <w:rFonts w:hint="eastAsia" w:ascii="宋体" w:hAnsi="宋体" w:eastAsia="宋体" w:cs="宋体"/>
          <w:color w:val="auto"/>
          <w:spacing w:val="-3"/>
        </w:rPr>
        <w:t>0</w:t>
      </w:r>
      <w:r>
        <w:rPr>
          <w:rFonts w:ascii="宋体" w:hAnsi="宋体" w:eastAsia="宋体" w:cs="宋体"/>
          <w:color w:val="auto"/>
          <w:spacing w:val="-3"/>
        </w:rPr>
        <w:t xml:space="preserve"> </w:t>
      </w:r>
      <w:r>
        <w:rPr>
          <w:rFonts w:hint="eastAsia" w:ascii="宋体" w:hAnsi="宋体" w:eastAsia="宋体" w:cs="宋体"/>
          <w:color w:val="auto"/>
          <w:spacing w:val="-3"/>
        </w:rPr>
        <w:t>分前不得开启比选申请文件。</w:t>
      </w:r>
    </w:p>
    <w:p w14:paraId="0C77CE3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4.3 比选申请文件送交</w:t>
      </w:r>
    </w:p>
    <w:p w14:paraId="5A2B9C8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比选申请人应该在“比选公告”中规定的时间和地点，提交按照比选文件规定格式和内容编写的比选申请文件。比选申请人没有按时提交比选申请文件的，将被认为放弃比选申请。</w:t>
      </w:r>
    </w:p>
    <w:p w14:paraId="4194CB9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4.4 费用承担</w:t>
      </w:r>
    </w:p>
    <w:p w14:paraId="5402FE94">
      <w:pPr>
        <w:kinsoku/>
        <w:spacing w:line="480" w:lineRule="exact"/>
        <w:ind w:right="3" w:firstLine="426" w:firstLineChars="209"/>
        <w:jc w:val="both"/>
        <w:rPr>
          <w:rFonts w:ascii="宋体" w:hAnsi="宋体" w:eastAsia="宋体" w:cs="宋体"/>
        </w:rPr>
      </w:pPr>
      <w:r>
        <w:rPr>
          <w:rFonts w:hint="eastAsia" w:ascii="宋体" w:hAnsi="宋体" w:eastAsia="宋体" w:cs="宋体"/>
          <w:color w:val="auto"/>
          <w:spacing w:val="-3"/>
        </w:rPr>
        <w:t>比选申请人在报价过程中产生的一切费用，不论中选与否，均由比选申请人自行承担。</w:t>
      </w:r>
    </w:p>
    <w:p w14:paraId="2238E8A4">
      <w:pPr>
        <w:spacing w:line="480" w:lineRule="exact"/>
        <w:ind w:left="3" w:firstLine="430" w:firstLineChars="200"/>
        <w:rPr>
          <w:rFonts w:ascii="宋体" w:hAnsi="宋体" w:eastAsia="宋体" w:cs="宋体"/>
        </w:rPr>
      </w:pPr>
      <w:r>
        <w:rPr>
          <w:rFonts w:hint="eastAsia" w:ascii="宋体" w:hAnsi="宋体" w:eastAsia="宋体" w:cs="宋体"/>
          <w:b/>
          <w:bCs/>
          <w:spacing w:val="2"/>
        </w:rPr>
        <w:t>5.比选申请报价须知</w:t>
      </w:r>
    </w:p>
    <w:p w14:paraId="138D299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本项目采用</w:t>
      </w:r>
      <w:r>
        <w:rPr>
          <w:rFonts w:hint="eastAsia" w:ascii="宋体" w:hAnsi="宋体" w:eastAsia="宋体" w:cs="宋体"/>
          <w:bCs/>
          <w:color w:val="auto"/>
          <w:spacing w:val="-3"/>
        </w:rPr>
        <w:t>报价比例</w:t>
      </w:r>
      <w:r>
        <w:rPr>
          <w:rFonts w:hint="eastAsia" w:ascii="宋体" w:hAnsi="宋体" w:eastAsia="宋体" w:cs="宋体"/>
          <w:color w:val="auto"/>
          <w:spacing w:val="-3"/>
        </w:rPr>
        <w:t>(以百分比表示，</w:t>
      </w:r>
      <w:r>
        <w:rPr>
          <w:rFonts w:hint="eastAsia" w:ascii="宋体" w:hAnsi="宋体" w:eastAsia="宋体" w:cs="宋体"/>
          <w:bCs/>
          <w:color w:val="auto"/>
          <w:spacing w:val="-3"/>
        </w:rPr>
        <w:t>保留小数点后两位，形如“99.99%”</w:t>
      </w:r>
      <w:r>
        <w:rPr>
          <w:rFonts w:hint="eastAsia" w:ascii="宋体" w:hAnsi="宋体" w:eastAsia="宋体" w:cs="宋体"/>
          <w:color w:val="auto"/>
          <w:spacing w:val="-3"/>
        </w:rPr>
        <w:t>)的形式进行报价，所报的报价比例将作为费用结算比例。</w:t>
      </w:r>
    </w:p>
    <w:p w14:paraId="3079C65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比选申请人的报价为比选人验收合格后的总价，包括但不限于人工、生产、运输、冷藏、二次搬运、单位管理费、各类税金、保险、利润等一切费用。</w:t>
      </w:r>
    </w:p>
    <w:p w14:paraId="0ED531C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比选申请人为履行合同所雇佣的全部人员若发生一切意外事故，均由比选申请人自行负责，与比选人无关。</w:t>
      </w:r>
    </w:p>
    <w:p w14:paraId="71A92A7E">
      <w:pPr>
        <w:spacing w:line="480" w:lineRule="exact"/>
        <w:ind w:left="3" w:firstLine="426" w:firstLineChars="200"/>
        <w:rPr>
          <w:rFonts w:ascii="宋体" w:hAnsi="宋体" w:eastAsia="宋体" w:cs="宋体"/>
        </w:rPr>
      </w:pPr>
      <w:r>
        <w:rPr>
          <w:rFonts w:hint="eastAsia" w:ascii="宋体" w:hAnsi="宋体" w:eastAsia="宋体" w:cs="宋体"/>
          <w:b/>
          <w:bCs/>
          <w:spacing w:val="1"/>
        </w:rPr>
        <w:t>6.比选最高限价</w:t>
      </w:r>
    </w:p>
    <w:p w14:paraId="7D95DD13">
      <w:pPr>
        <w:spacing w:line="480" w:lineRule="exact"/>
        <w:ind w:left="3" w:firstLine="408" w:firstLineChars="200"/>
        <w:rPr>
          <w:rFonts w:ascii="宋体" w:hAnsi="宋体" w:eastAsia="宋体" w:cs="宋体"/>
          <w:color w:val="auto"/>
          <w:spacing w:val="-3"/>
        </w:rPr>
      </w:pPr>
      <w:r>
        <w:rPr>
          <w:rFonts w:hint="eastAsia" w:ascii="宋体" w:hAnsi="宋体" w:eastAsia="宋体" w:cs="宋体"/>
          <w:color w:val="auto"/>
          <w:spacing w:val="-3"/>
        </w:rPr>
        <w:t>最高比选申请限价：不得超过报价比例的100% 。</w:t>
      </w:r>
    </w:p>
    <w:p w14:paraId="7C41BCDE">
      <w:pPr>
        <w:spacing w:line="480" w:lineRule="exact"/>
        <w:ind w:left="3" w:firstLine="408" w:firstLineChars="200"/>
        <w:rPr>
          <w:rFonts w:ascii="宋体" w:hAnsi="宋体" w:eastAsia="宋体" w:cs="宋体"/>
          <w:snapToGrid/>
          <w:color w:val="auto"/>
        </w:rPr>
      </w:pPr>
      <w:r>
        <w:rPr>
          <w:rFonts w:hint="eastAsia" w:ascii="宋体" w:hAnsi="宋体" w:eastAsia="宋体" w:cs="宋体"/>
          <w:color w:val="auto"/>
          <w:spacing w:val="-3"/>
        </w:rPr>
        <w:t>注：</w:t>
      </w:r>
      <w:r>
        <w:rPr>
          <w:rFonts w:hint="eastAsia"/>
        </w:rPr>
        <w:t>比选人每月至少一次对供应商的食材报价与绵阳市发展和改革委员会网站上公布的离抽样时间最近一次的《绵阳城区主副食品民生价格信息行情》中七家农贸市场的平均价格为</w:t>
      </w:r>
      <w:r>
        <w:rPr>
          <w:rFonts w:hint="eastAsia" w:ascii="宋体" w:hAnsi="宋体" w:eastAsia="宋体" w:cs="宋体"/>
          <w:color w:val="auto"/>
        </w:rPr>
        <w:t>市场基准价</w:t>
      </w:r>
      <w:r>
        <w:rPr>
          <w:rFonts w:hint="eastAsia"/>
        </w:rPr>
        <w:t>进行抽样对比，如网站上无抽样的同类同质食材，则与绵阳市涪城区、游仙区及江油市范围内批发市场、大型超市（如永辉、汇星、龙门批发市场等）同类同质食材的不少于三家的市场零售价的平均价为</w:t>
      </w:r>
      <w:r>
        <w:rPr>
          <w:rFonts w:hint="eastAsia" w:ascii="宋体" w:hAnsi="宋体" w:eastAsia="宋体" w:cs="宋体"/>
          <w:color w:val="auto"/>
        </w:rPr>
        <w:t>市场基准价</w:t>
      </w:r>
      <w:r>
        <w:rPr>
          <w:rFonts w:hint="eastAsia"/>
        </w:rPr>
        <w:t>进行对比，供应商提供的食材报价超过</w:t>
      </w:r>
      <w:r>
        <w:rPr>
          <w:rFonts w:hint="eastAsia" w:ascii="宋体" w:hAnsi="宋体" w:eastAsia="宋体" w:cs="宋体"/>
          <w:color w:val="auto"/>
        </w:rPr>
        <w:t>市场基准价</w:t>
      </w:r>
      <w:r>
        <w:rPr>
          <w:rFonts w:hint="eastAsia"/>
        </w:rPr>
        <w:t>1</w:t>
      </w:r>
      <w:r>
        <w:t>0%且无法在三个工作日内提供让比选人同意认可的合理有效书面情况说明</w:t>
      </w:r>
      <w:r>
        <w:rPr>
          <w:rFonts w:hint="eastAsia"/>
        </w:rPr>
        <w:t>的，将视为违约，相关违约条款详见合同。</w:t>
      </w:r>
    </w:p>
    <w:p w14:paraId="150EA25D">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7.合同签订</w:t>
      </w:r>
    </w:p>
    <w:p w14:paraId="14EA1AEA">
      <w:pPr>
        <w:spacing w:line="480" w:lineRule="exact"/>
        <w:ind w:left="3" w:firstLine="424" w:firstLineChars="200"/>
        <w:rPr>
          <w:rFonts w:ascii="宋体" w:hAnsi="宋体" w:eastAsia="宋体" w:cs="宋体"/>
          <w:spacing w:val="1"/>
        </w:rPr>
      </w:pPr>
      <w:r>
        <w:rPr>
          <w:rFonts w:hint="eastAsia" w:ascii="宋体" w:hAnsi="宋体" w:eastAsia="宋体" w:cs="宋体"/>
          <w:spacing w:val="1"/>
        </w:rPr>
        <w:t>7.1 中选通知</w:t>
      </w:r>
    </w:p>
    <w:p w14:paraId="425F09CF">
      <w:pPr>
        <w:spacing w:line="480" w:lineRule="exact"/>
        <w:ind w:left="3" w:firstLine="424" w:firstLineChars="200"/>
        <w:rPr>
          <w:rFonts w:ascii="宋体" w:hAnsi="宋体" w:eastAsia="宋体" w:cs="宋体"/>
          <w:spacing w:val="1"/>
        </w:rPr>
      </w:pPr>
      <w:r>
        <w:rPr>
          <w:rFonts w:hint="eastAsia" w:ascii="宋体" w:hAnsi="宋体" w:eastAsia="宋体" w:cs="宋体"/>
          <w:spacing w:val="1"/>
        </w:rPr>
        <w:t>中选候选人公示期满，比选申请人对本项目评审结果无异议，由比选人向第一中选候选人发出中选通知书。</w:t>
      </w:r>
    </w:p>
    <w:p w14:paraId="4E8960FE">
      <w:pPr>
        <w:spacing w:line="480" w:lineRule="exact"/>
        <w:ind w:left="3" w:firstLine="424" w:firstLineChars="200"/>
        <w:rPr>
          <w:rFonts w:ascii="宋体" w:hAnsi="宋体" w:eastAsia="宋体" w:cs="宋体"/>
          <w:spacing w:val="1"/>
        </w:rPr>
      </w:pPr>
      <w:r>
        <w:rPr>
          <w:rFonts w:hint="eastAsia" w:ascii="宋体" w:hAnsi="宋体" w:eastAsia="宋体" w:cs="宋体"/>
          <w:spacing w:val="1"/>
        </w:rPr>
        <w:t>7.2 履约保证金：无。</w:t>
      </w:r>
    </w:p>
    <w:p w14:paraId="1798A7EE">
      <w:pPr>
        <w:spacing w:line="480" w:lineRule="exact"/>
        <w:ind w:left="3" w:firstLine="424" w:firstLineChars="200"/>
        <w:rPr>
          <w:rFonts w:ascii="宋体" w:hAnsi="宋体" w:eastAsia="宋体" w:cs="宋体"/>
          <w:spacing w:val="1"/>
        </w:rPr>
      </w:pPr>
      <w:r>
        <w:rPr>
          <w:rFonts w:hint="eastAsia" w:ascii="宋体" w:hAnsi="宋体" w:eastAsia="宋体" w:cs="宋体"/>
          <w:spacing w:val="1"/>
        </w:rPr>
        <w:t>7.3 签订合同</w:t>
      </w:r>
    </w:p>
    <w:p w14:paraId="19181EB0">
      <w:pPr>
        <w:spacing w:line="480" w:lineRule="exact"/>
        <w:ind w:left="3" w:firstLine="424" w:firstLineChars="200"/>
        <w:rPr>
          <w:rFonts w:ascii="宋体" w:hAnsi="宋体" w:eastAsia="宋体" w:cs="宋体"/>
          <w:spacing w:val="1"/>
        </w:rPr>
      </w:pPr>
      <w:r>
        <w:rPr>
          <w:rFonts w:hint="eastAsia" w:ascii="宋体" w:hAnsi="宋体" w:eastAsia="宋体" w:cs="宋体"/>
          <w:spacing w:val="1"/>
        </w:rPr>
        <w:t>（1）比选人和中选人应自发出中选通知书之日起30日内，按照比选人与中选人约定的时间和地点签署合同协议书。</w:t>
      </w:r>
    </w:p>
    <w:p w14:paraId="5D43AE31">
      <w:pPr>
        <w:spacing w:line="480" w:lineRule="exact"/>
        <w:ind w:left="3" w:firstLine="424" w:firstLineChars="200"/>
        <w:rPr>
          <w:rFonts w:ascii="宋体" w:hAnsi="宋体" w:eastAsia="宋体" w:cs="宋体"/>
          <w:spacing w:val="1"/>
        </w:rPr>
      </w:pPr>
      <w:r>
        <w:rPr>
          <w:rFonts w:hint="eastAsia" w:ascii="宋体" w:hAnsi="宋体" w:eastAsia="宋体" w:cs="宋体"/>
          <w:spacing w:val="1"/>
        </w:rPr>
        <w:t>（2）合同文件的份数根据需要由比选人与中选人协商确定。在合同协议书签订之前，比选申请文件和中选通知书将约束双方。</w:t>
      </w:r>
    </w:p>
    <w:p w14:paraId="7285722E">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8.重新比选和不再比选</w:t>
      </w:r>
    </w:p>
    <w:p w14:paraId="05E7805D">
      <w:pPr>
        <w:spacing w:line="480" w:lineRule="exact"/>
        <w:ind w:left="3" w:firstLine="424" w:firstLineChars="200"/>
        <w:rPr>
          <w:rFonts w:ascii="宋体" w:hAnsi="宋体" w:eastAsia="宋体" w:cs="宋体"/>
          <w:spacing w:val="1"/>
        </w:rPr>
      </w:pPr>
      <w:r>
        <w:rPr>
          <w:rFonts w:hint="eastAsia" w:ascii="宋体" w:hAnsi="宋体" w:eastAsia="宋体" w:cs="宋体"/>
          <w:spacing w:val="1"/>
        </w:rPr>
        <w:t>如果报价截止时间止，递交比选申请文件的比选申请人少于三个的；或经评审委员会评审后否决所有报价的；或中选人未在规定时间内与比选人签订合同协议书，在此情况下，比选人可以按规定重新组织比选。</w:t>
      </w:r>
    </w:p>
    <w:p w14:paraId="468F926B">
      <w:pPr>
        <w:numPr>
          <w:ilvl w:val="0"/>
          <w:numId w:val="2"/>
        </w:num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监督机构</w:t>
      </w:r>
    </w:p>
    <w:p w14:paraId="6C113F0D">
      <w:pPr>
        <w:spacing w:line="480" w:lineRule="exact"/>
        <w:ind w:left="420" w:leftChars="200"/>
        <w:rPr>
          <w:rFonts w:ascii="宋体" w:hAnsi="宋体" w:eastAsia="宋体" w:cs="宋体"/>
          <w:b/>
          <w:bCs/>
          <w:spacing w:val="-2"/>
          <w:sz w:val="32"/>
          <w:szCs w:val="32"/>
        </w:rPr>
      </w:pPr>
      <w:r>
        <w:rPr>
          <w:rFonts w:hint="eastAsia" w:ascii="宋体" w:hAnsi="宋体" w:eastAsia="宋体" w:cs="宋体"/>
          <w:spacing w:val="1"/>
        </w:rPr>
        <w:t>见比选申请人须知前附表。</w:t>
      </w:r>
    </w:p>
    <w:p w14:paraId="3CED3C7C">
      <w:pPr>
        <w:spacing w:before="136" w:line="219" w:lineRule="auto"/>
        <w:jc w:val="center"/>
        <w:rPr>
          <w:rFonts w:ascii="宋体" w:hAnsi="宋体" w:eastAsia="宋体" w:cs="宋体"/>
          <w:b/>
          <w:bCs/>
          <w:spacing w:val="-2"/>
          <w:sz w:val="32"/>
          <w:szCs w:val="32"/>
        </w:rPr>
      </w:pPr>
    </w:p>
    <w:p w14:paraId="60FB63D2">
      <w:pPr>
        <w:spacing w:before="136" w:line="219" w:lineRule="auto"/>
        <w:jc w:val="center"/>
        <w:rPr>
          <w:rFonts w:ascii="宋体" w:hAnsi="宋体" w:eastAsia="宋体" w:cs="宋体"/>
          <w:b/>
          <w:bCs/>
          <w:spacing w:val="-2"/>
          <w:sz w:val="32"/>
          <w:szCs w:val="32"/>
        </w:rPr>
      </w:pPr>
    </w:p>
    <w:p w14:paraId="5FAE98C7">
      <w:pPr>
        <w:spacing w:before="136" w:line="219" w:lineRule="auto"/>
        <w:jc w:val="center"/>
        <w:rPr>
          <w:rFonts w:ascii="宋体" w:hAnsi="宋体" w:eastAsia="宋体" w:cs="宋体"/>
          <w:b/>
          <w:bCs/>
          <w:spacing w:val="-2"/>
          <w:sz w:val="32"/>
          <w:szCs w:val="32"/>
        </w:rPr>
      </w:pPr>
    </w:p>
    <w:p w14:paraId="1E75AFD9">
      <w:pPr>
        <w:pStyle w:val="2"/>
      </w:pPr>
    </w:p>
    <w:p w14:paraId="0A09EC71">
      <w:pPr>
        <w:spacing w:before="136" w:line="219" w:lineRule="auto"/>
        <w:jc w:val="center"/>
        <w:rPr>
          <w:rFonts w:ascii="宋体" w:hAnsi="宋体" w:eastAsia="宋体" w:cs="宋体"/>
          <w:b/>
          <w:bCs/>
          <w:spacing w:val="-2"/>
          <w:sz w:val="32"/>
          <w:szCs w:val="32"/>
        </w:rPr>
      </w:pPr>
    </w:p>
    <w:p w14:paraId="737571F8">
      <w:pPr>
        <w:spacing w:before="136" w:line="219" w:lineRule="auto"/>
        <w:jc w:val="center"/>
        <w:rPr>
          <w:rFonts w:ascii="宋体" w:hAnsi="宋体" w:eastAsia="宋体" w:cs="宋体"/>
          <w:b/>
          <w:bCs/>
          <w:spacing w:val="-2"/>
          <w:sz w:val="32"/>
          <w:szCs w:val="32"/>
        </w:rPr>
      </w:pPr>
    </w:p>
    <w:p w14:paraId="48B9E13D">
      <w:pPr>
        <w:pStyle w:val="2"/>
      </w:pPr>
    </w:p>
    <w:p w14:paraId="65D17DC9">
      <w:pPr>
        <w:spacing w:before="136" w:line="219" w:lineRule="auto"/>
        <w:jc w:val="both"/>
        <w:rPr>
          <w:rFonts w:ascii="宋体" w:hAnsi="宋体" w:eastAsia="宋体" w:cs="宋体"/>
          <w:b/>
          <w:bCs/>
          <w:spacing w:val="-2"/>
          <w:sz w:val="32"/>
          <w:szCs w:val="32"/>
        </w:rPr>
      </w:pPr>
    </w:p>
    <w:p w14:paraId="54158B1C">
      <w:pPr>
        <w:spacing w:before="136" w:line="219" w:lineRule="auto"/>
        <w:jc w:val="center"/>
        <w:rPr>
          <w:rFonts w:ascii="宋体" w:hAnsi="宋体" w:eastAsia="宋体" w:cs="宋体"/>
          <w:b/>
          <w:bCs/>
          <w:spacing w:val="-2"/>
          <w:sz w:val="32"/>
          <w:szCs w:val="32"/>
        </w:rPr>
      </w:pPr>
      <w:r>
        <w:rPr>
          <w:rFonts w:hint="eastAsia" w:ascii="宋体" w:hAnsi="宋体" w:eastAsia="宋体" w:cs="宋体"/>
          <w:b/>
          <w:bCs/>
          <w:spacing w:val="-2"/>
          <w:sz w:val="32"/>
          <w:szCs w:val="32"/>
        </w:rPr>
        <w:t>三</w:t>
      </w:r>
      <w:r>
        <w:rPr>
          <w:rFonts w:ascii="宋体" w:hAnsi="宋体" w:eastAsia="宋体" w:cs="宋体"/>
          <w:b/>
          <w:bCs/>
          <w:spacing w:val="-2"/>
          <w:sz w:val="32"/>
          <w:szCs w:val="32"/>
        </w:rPr>
        <w:t>、资格审查条件</w:t>
      </w:r>
    </w:p>
    <w:p w14:paraId="0E7DDABF">
      <w:pPr>
        <w:rPr>
          <w:rFonts w:eastAsiaTheme="minorEastAsia"/>
        </w:rPr>
      </w:pPr>
    </w:p>
    <w:p w14:paraId="1045EF5B">
      <w:pPr>
        <w:spacing w:line="480" w:lineRule="exact"/>
        <w:ind w:left="3648"/>
        <w:outlineLvl w:val="0"/>
        <w:rPr>
          <w:rFonts w:ascii="宋体" w:hAnsi="宋体" w:eastAsia="宋体" w:cs="宋体"/>
          <w:b/>
          <w:bCs/>
          <w:spacing w:val="-4"/>
        </w:rPr>
      </w:pPr>
      <w:bookmarkStart w:id="37" w:name="_Toc20612"/>
      <w:bookmarkStart w:id="38" w:name="_Toc29356"/>
      <w:bookmarkStart w:id="39" w:name="_Toc18201"/>
      <w:r>
        <w:rPr>
          <w:rFonts w:hint="eastAsia" w:ascii="宋体" w:hAnsi="宋体" w:eastAsia="宋体" w:cs="宋体"/>
          <w:b/>
          <w:bCs/>
          <w:spacing w:val="-4"/>
        </w:rPr>
        <w:t>3</w:t>
      </w:r>
      <w:r>
        <w:rPr>
          <w:rFonts w:ascii="宋体" w:hAnsi="宋体" w:eastAsia="宋体" w:cs="宋体"/>
          <w:b/>
          <w:bCs/>
          <w:spacing w:val="-4"/>
        </w:rPr>
        <w:t>-1</w:t>
      </w:r>
      <w:r>
        <w:rPr>
          <w:rFonts w:hint="eastAsia" w:ascii="宋体" w:hAnsi="宋体" w:eastAsia="宋体" w:cs="宋体"/>
          <w:b/>
          <w:bCs/>
          <w:spacing w:val="-4"/>
        </w:rPr>
        <w:t xml:space="preserve"> </w:t>
      </w:r>
      <w:r>
        <w:rPr>
          <w:rFonts w:ascii="宋体" w:hAnsi="宋体" w:eastAsia="宋体" w:cs="宋体"/>
          <w:b/>
          <w:bCs/>
          <w:spacing w:val="-4"/>
        </w:rPr>
        <w:t>资质最低要求</w:t>
      </w:r>
      <w:bookmarkEnd w:id="37"/>
      <w:bookmarkEnd w:id="38"/>
      <w:bookmarkEnd w:id="39"/>
    </w:p>
    <w:tbl>
      <w:tblPr>
        <w:tblStyle w:val="31"/>
        <w:tblW w:w="8881"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1"/>
      </w:tblGrid>
      <w:tr w14:paraId="3A55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8881" w:type="dxa"/>
            <w:vAlign w:val="center"/>
          </w:tcPr>
          <w:p w14:paraId="00F5254B">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26C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2" w:hRule="atLeast"/>
        </w:trPr>
        <w:tc>
          <w:tcPr>
            <w:tcW w:w="8881" w:type="dxa"/>
            <w:vAlign w:val="center"/>
          </w:tcPr>
          <w:p w14:paraId="3BED4EE4">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tc>
      </w:tr>
    </w:tbl>
    <w:p w14:paraId="6D9F5E31">
      <w:pPr>
        <w:spacing w:line="360" w:lineRule="exact"/>
        <w:jc w:val="both"/>
        <w:rPr>
          <w:rFonts w:eastAsiaTheme="minorEastAsia"/>
        </w:rPr>
      </w:pPr>
    </w:p>
    <w:p w14:paraId="630B4699">
      <w:pPr>
        <w:pStyle w:val="2"/>
      </w:pPr>
    </w:p>
    <w:p w14:paraId="7DD8C24A"/>
    <w:p w14:paraId="40C6AD45">
      <w:pPr>
        <w:spacing w:line="360" w:lineRule="exact"/>
        <w:ind w:left="358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2 </w:t>
      </w:r>
      <w:r>
        <w:rPr>
          <w:rFonts w:ascii="宋体" w:hAnsi="宋体" w:eastAsia="宋体" w:cs="宋体"/>
          <w:b/>
          <w:bCs/>
          <w:spacing w:val="-4"/>
        </w:rPr>
        <w:t>业绩最低要求</w:t>
      </w:r>
    </w:p>
    <w:tbl>
      <w:tblPr>
        <w:tblStyle w:val="31"/>
        <w:tblW w:w="8891"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1"/>
      </w:tblGrid>
      <w:tr w14:paraId="1739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891" w:type="dxa"/>
          </w:tcPr>
          <w:p w14:paraId="7B879A57">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2CBD6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891" w:type="dxa"/>
          </w:tcPr>
          <w:p w14:paraId="63AA5C98">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日至本项目比选截止日期间），独立承担过1个及以上政府机关、事业单位、国营企业单位、大型超市食材供应项目。食材供应项目中的品类至少包含比选公告2</w:t>
            </w:r>
            <w:r>
              <w:rPr>
                <w:rFonts w:ascii="宋体" w:hAnsi="宋体" w:eastAsia="宋体" w:cs="宋体"/>
                <w:color w:val="auto"/>
                <w:spacing w:val="-3"/>
              </w:rPr>
              <w:t>.1所规定的大类中的</w:t>
            </w:r>
            <w:r>
              <w:rPr>
                <w:rFonts w:hint="eastAsia" w:ascii="宋体" w:hAnsi="宋体" w:eastAsia="宋体" w:cs="宋体"/>
                <w:color w:val="auto"/>
                <w:spacing w:val="-3"/>
              </w:rPr>
              <w:t>5类为有效项目，大型超市指注册资金在5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tc>
      </w:tr>
    </w:tbl>
    <w:p w14:paraId="04F088AB">
      <w:pPr>
        <w:pStyle w:val="2"/>
      </w:pPr>
    </w:p>
    <w:p w14:paraId="700C3E96">
      <w:pPr>
        <w:rPr>
          <w:rFonts w:eastAsiaTheme="minorEastAsia"/>
        </w:rPr>
      </w:pPr>
    </w:p>
    <w:p w14:paraId="69F16BA5"/>
    <w:p w14:paraId="18E0E3F2">
      <w:pPr>
        <w:spacing w:line="360" w:lineRule="exact"/>
        <w:ind w:left="361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3 </w:t>
      </w:r>
      <w:r>
        <w:rPr>
          <w:rFonts w:ascii="宋体" w:hAnsi="宋体" w:eastAsia="宋体" w:cs="宋体"/>
          <w:b/>
          <w:bCs/>
          <w:spacing w:val="-4"/>
        </w:rPr>
        <w:t>信誉最低要求</w:t>
      </w:r>
    </w:p>
    <w:tbl>
      <w:tblPr>
        <w:tblStyle w:val="31"/>
        <w:tblW w:w="89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1"/>
      </w:tblGrid>
      <w:tr w14:paraId="58D2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921" w:type="dxa"/>
          </w:tcPr>
          <w:p w14:paraId="1231DBA6">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46B24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8921" w:type="dxa"/>
          </w:tcPr>
          <w:p w14:paraId="4DC46810">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(zxgk.court.gov.cn/shixin)中被列入失信被执行人名单的比选申请人，其提交的比选申请文件将视为无效；</w:t>
            </w:r>
          </w:p>
          <w:p w14:paraId="4761EBDD">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1085D9AA">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p w14:paraId="289BAA4C">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日至本项目比选截止日期间）比选申请人（单位）和法定代表人无在大众媒体、知名网站、搜索引擎上（包括但不限于国家、政府网站、百度、腾讯等同类型网站）被公开批露或查询到的负面信息。</w:t>
            </w:r>
          </w:p>
        </w:tc>
      </w:tr>
    </w:tbl>
    <w:p w14:paraId="419300BE">
      <w:pPr>
        <w:kinsoku/>
        <w:spacing w:line="360" w:lineRule="exact"/>
        <w:jc w:val="both"/>
        <w:rPr>
          <w:rFonts w:ascii="宋体" w:hAnsi="宋体" w:eastAsia="宋体" w:cs="宋体"/>
          <w:b/>
          <w:color w:val="auto"/>
        </w:rPr>
      </w:pPr>
    </w:p>
    <w:p w14:paraId="6E8697D1">
      <w:pPr>
        <w:kinsoku/>
        <w:jc w:val="center"/>
        <w:rPr>
          <w:rFonts w:ascii="宋体" w:hAnsi="宋体" w:eastAsia="宋体" w:cs="宋体"/>
          <w:b/>
          <w:color w:val="auto"/>
        </w:rPr>
      </w:pPr>
    </w:p>
    <w:p w14:paraId="50A5A3E7">
      <w:pPr>
        <w:kinsoku/>
        <w:jc w:val="center"/>
        <w:rPr>
          <w:rFonts w:ascii="宋体" w:hAnsi="宋体" w:eastAsia="宋体" w:cs="宋体"/>
          <w:b/>
          <w:color w:val="auto"/>
        </w:rPr>
      </w:pPr>
    </w:p>
    <w:p w14:paraId="7C38B18A">
      <w:pPr>
        <w:pStyle w:val="2"/>
        <w:spacing w:line="247" w:lineRule="auto"/>
      </w:pPr>
    </w:p>
    <w:p w14:paraId="17BE8829">
      <w:pPr>
        <w:pStyle w:val="2"/>
        <w:spacing w:line="248" w:lineRule="auto"/>
      </w:pPr>
    </w:p>
    <w:p w14:paraId="7D69250A">
      <w:pPr>
        <w:pStyle w:val="2"/>
        <w:spacing w:line="248" w:lineRule="auto"/>
      </w:pPr>
    </w:p>
    <w:p w14:paraId="16074444"/>
    <w:p w14:paraId="5D39BA83">
      <w:pPr>
        <w:pStyle w:val="2"/>
      </w:pPr>
    </w:p>
    <w:p w14:paraId="6B5031A4"/>
    <w:p w14:paraId="7FEFACFE">
      <w:pPr>
        <w:spacing w:before="159" w:line="219" w:lineRule="auto"/>
        <w:jc w:val="both"/>
        <w:rPr>
          <w:rFonts w:ascii="黑体" w:hAnsi="黑体" w:eastAsia="黑体" w:cs="黑体"/>
          <w:spacing w:val="18"/>
          <w:sz w:val="44"/>
          <w:szCs w:val="44"/>
        </w:rPr>
      </w:pPr>
      <w:bookmarkStart w:id="40" w:name="bookmark3"/>
      <w:bookmarkEnd w:id="40"/>
    </w:p>
    <w:p w14:paraId="5D9F3D71">
      <w:pPr>
        <w:pStyle w:val="2"/>
        <w:rPr>
          <w:rFonts w:ascii="黑体" w:hAnsi="黑体" w:eastAsia="黑体" w:cs="黑体"/>
          <w:spacing w:val="18"/>
          <w:sz w:val="44"/>
          <w:szCs w:val="44"/>
        </w:rPr>
      </w:pPr>
    </w:p>
    <w:p w14:paraId="39A6FFDE"/>
    <w:p w14:paraId="41F539D0">
      <w:pPr>
        <w:pStyle w:val="2"/>
      </w:pPr>
    </w:p>
    <w:p w14:paraId="50D216E7"/>
    <w:p w14:paraId="5CF759A7">
      <w:pPr>
        <w:spacing w:before="159" w:line="219" w:lineRule="auto"/>
        <w:jc w:val="center"/>
        <w:outlineLvl w:val="0"/>
        <w:rPr>
          <w:rFonts w:ascii="黑体" w:hAnsi="黑体" w:eastAsia="黑体" w:cs="黑体"/>
          <w:sz w:val="44"/>
          <w:szCs w:val="44"/>
        </w:rPr>
      </w:pPr>
      <w:bookmarkStart w:id="41" w:name="_Toc30686"/>
      <w:r>
        <w:rPr>
          <w:rFonts w:hint="eastAsia" w:ascii="黑体" w:hAnsi="黑体" w:eastAsia="黑体" w:cs="黑体"/>
          <w:spacing w:val="18"/>
          <w:sz w:val="44"/>
          <w:szCs w:val="44"/>
        </w:rPr>
        <w:t>第三章 评审办法</w:t>
      </w:r>
      <w:bookmarkEnd w:id="41"/>
    </w:p>
    <w:p w14:paraId="2D83393B">
      <w:pPr>
        <w:spacing w:before="58" w:line="221" w:lineRule="auto"/>
        <w:ind w:left="2994"/>
        <w:rPr>
          <w:rFonts w:ascii="黑体" w:hAnsi="黑体" w:eastAsia="黑体" w:cs="黑体"/>
          <w:b/>
          <w:bCs/>
          <w:spacing w:val="3"/>
          <w:sz w:val="29"/>
          <w:szCs w:val="29"/>
        </w:rPr>
      </w:pPr>
    </w:p>
    <w:p w14:paraId="786454E1">
      <w:pPr>
        <w:spacing w:before="58" w:line="221" w:lineRule="auto"/>
        <w:ind w:left="2994"/>
        <w:rPr>
          <w:rFonts w:ascii="黑体" w:hAnsi="黑体" w:eastAsia="黑体" w:cs="黑体"/>
          <w:b/>
          <w:bCs/>
          <w:spacing w:val="3"/>
          <w:sz w:val="29"/>
          <w:szCs w:val="29"/>
        </w:rPr>
      </w:pPr>
    </w:p>
    <w:p w14:paraId="507872BF">
      <w:pPr>
        <w:spacing w:before="58" w:line="221" w:lineRule="auto"/>
        <w:ind w:left="2994"/>
        <w:rPr>
          <w:rFonts w:ascii="黑体" w:hAnsi="黑体" w:eastAsia="黑体" w:cs="黑体"/>
          <w:b/>
          <w:bCs/>
          <w:spacing w:val="3"/>
          <w:sz w:val="29"/>
          <w:szCs w:val="29"/>
        </w:rPr>
      </w:pPr>
    </w:p>
    <w:p w14:paraId="698D9390">
      <w:pPr>
        <w:spacing w:before="58" w:line="221" w:lineRule="auto"/>
        <w:ind w:left="2994"/>
        <w:rPr>
          <w:rFonts w:ascii="黑体" w:hAnsi="黑体" w:eastAsia="黑体" w:cs="黑体"/>
          <w:b/>
          <w:bCs/>
          <w:spacing w:val="3"/>
          <w:sz w:val="29"/>
          <w:szCs w:val="29"/>
        </w:rPr>
      </w:pPr>
    </w:p>
    <w:p w14:paraId="0A0868CE">
      <w:pPr>
        <w:spacing w:before="58" w:line="221" w:lineRule="auto"/>
        <w:ind w:left="2994"/>
        <w:rPr>
          <w:rFonts w:ascii="黑体" w:hAnsi="黑体" w:eastAsia="黑体" w:cs="黑体"/>
          <w:b/>
          <w:bCs/>
          <w:spacing w:val="3"/>
          <w:sz w:val="29"/>
          <w:szCs w:val="29"/>
        </w:rPr>
      </w:pPr>
    </w:p>
    <w:p w14:paraId="265AC610">
      <w:pPr>
        <w:spacing w:before="58" w:line="221" w:lineRule="auto"/>
        <w:ind w:left="2994"/>
        <w:rPr>
          <w:rFonts w:ascii="黑体" w:hAnsi="黑体" w:eastAsia="黑体" w:cs="黑体"/>
          <w:b/>
          <w:bCs/>
          <w:spacing w:val="3"/>
          <w:sz w:val="29"/>
          <w:szCs w:val="29"/>
        </w:rPr>
      </w:pPr>
    </w:p>
    <w:p w14:paraId="050FFBD6">
      <w:pPr>
        <w:spacing w:before="58" w:line="221" w:lineRule="auto"/>
        <w:ind w:left="2994"/>
        <w:rPr>
          <w:rFonts w:ascii="黑体" w:hAnsi="黑体" w:eastAsia="黑体" w:cs="黑体"/>
          <w:b/>
          <w:bCs/>
          <w:spacing w:val="3"/>
          <w:sz w:val="29"/>
          <w:szCs w:val="29"/>
        </w:rPr>
      </w:pPr>
    </w:p>
    <w:p w14:paraId="0F13D8D8">
      <w:pPr>
        <w:spacing w:before="58" w:line="221" w:lineRule="auto"/>
        <w:ind w:left="2994"/>
        <w:rPr>
          <w:rFonts w:ascii="黑体" w:hAnsi="黑体" w:eastAsia="黑体" w:cs="黑体"/>
          <w:b/>
          <w:bCs/>
          <w:spacing w:val="3"/>
          <w:sz w:val="29"/>
          <w:szCs w:val="29"/>
        </w:rPr>
      </w:pPr>
    </w:p>
    <w:p w14:paraId="417ED2A0">
      <w:pPr>
        <w:spacing w:before="58" w:line="221" w:lineRule="auto"/>
        <w:ind w:left="2994"/>
        <w:rPr>
          <w:rFonts w:ascii="黑体" w:hAnsi="黑体" w:eastAsia="黑体" w:cs="黑体"/>
          <w:b/>
          <w:bCs/>
          <w:spacing w:val="3"/>
          <w:sz w:val="29"/>
          <w:szCs w:val="29"/>
        </w:rPr>
      </w:pPr>
    </w:p>
    <w:p w14:paraId="3BCA09F9">
      <w:pPr>
        <w:spacing w:before="58" w:line="221" w:lineRule="auto"/>
        <w:ind w:left="2994"/>
        <w:rPr>
          <w:rFonts w:ascii="黑体" w:hAnsi="黑体" w:eastAsia="黑体" w:cs="黑体"/>
          <w:b/>
          <w:bCs/>
          <w:spacing w:val="3"/>
          <w:sz w:val="29"/>
          <w:szCs w:val="29"/>
        </w:rPr>
      </w:pPr>
    </w:p>
    <w:p w14:paraId="62766539">
      <w:pPr>
        <w:spacing w:before="58" w:line="221" w:lineRule="auto"/>
        <w:ind w:left="2994"/>
        <w:rPr>
          <w:rFonts w:ascii="黑体" w:hAnsi="黑体" w:eastAsia="黑体" w:cs="黑体"/>
          <w:b/>
          <w:bCs/>
          <w:spacing w:val="3"/>
          <w:sz w:val="29"/>
          <w:szCs w:val="29"/>
        </w:rPr>
      </w:pPr>
    </w:p>
    <w:p w14:paraId="3BF008BA">
      <w:pPr>
        <w:spacing w:before="58" w:line="221" w:lineRule="auto"/>
        <w:ind w:left="2994"/>
        <w:rPr>
          <w:rFonts w:ascii="黑体" w:hAnsi="黑体" w:eastAsia="黑体" w:cs="黑体"/>
          <w:b/>
          <w:bCs/>
          <w:spacing w:val="3"/>
          <w:sz w:val="29"/>
          <w:szCs w:val="29"/>
        </w:rPr>
      </w:pPr>
    </w:p>
    <w:p w14:paraId="094A3D56">
      <w:pPr>
        <w:spacing w:before="58" w:line="221" w:lineRule="auto"/>
        <w:ind w:left="2994"/>
        <w:rPr>
          <w:rFonts w:ascii="黑体" w:hAnsi="黑体" w:eastAsia="黑体" w:cs="黑体"/>
          <w:b/>
          <w:bCs/>
          <w:spacing w:val="3"/>
          <w:sz w:val="29"/>
          <w:szCs w:val="29"/>
        </w:rPr>
      </w:pPr>
    </w:p>
    <w:p w14:paraId="0A87E648">
      <w:pPr>
        <w:spacing w:before="58" w:line="221" w:lineRule="auto"/>
        <w:ind w:left="2994"/>
        <w:rPr>
          <w:rFonts w:ascii="黑体" w:hAnsi="黑体" w:eastAsia="黑体" w:cs="黑体"/>
          <w:b/>
          <w:bCs/>
          <w:spacing w:val="3"/>
          <w:sz w:val="29"/>
          <w:szCs w:val="29"/>
        </w:rPr>
      </w:pPr>
    </w:p>
    <w:p w14:paraId="069BEAEF">
      <w:pPr>
        <w:spacing w:before="58" w:line="221" w:lineRule="auto"/>
        <w:ind w:left="2994"/>
        <w:rPr>
          <w:rFonts w:ascii="黑体" w:hAnsi="黑体" w:eastAsia="黑体" w:cs="黑体"/>
          <w:b/>
          <w:bCs/>
          <w:spacing w:val="3"/>
          <w:sz w:val="29"/>
          <w:szCs w:val="29"/>
        </w:rPr>
      </w:pPr>
    </w:p>
    <w:p w14:paraId="2123327D">
      <w:pPr>
        <w:spacing w:before="58" w:line="221" w:lineRule="auto"/>
        <w:ind w:left="2994"/>
        <w:rPr>
          <w:rFonts w:ascii="黑体" w:hAnsi="黑体" w:eastAsia="黑体" w:cs="黑体"/>
          <w:b/>
          <w:bCs/>
          <w:spacing w:val="3"/>
          <w:sz w:val="29"/>
          <w:szCs w:val="29"/>
        </w:rPr>
      </w:pPr>
    </w:p>
    <w:p w14:paraId="1AD4C061">
      <w:pPr>
        <w:spacing w:before="58" w:line="221" w:lineRule="auto"/>
        <w:ind w:left="2994"/>
        <w:rPr>
          <w:rFonts w:ascii="黑体" w:hAnsi="黑体" w:eastAsia="黑体" w:cs="黑体"/>
          <w:b/>
          <w:bCs/>
          <w:spacing w:val="3"/>
          <w:sz w:val="29"/>
          <w:szCs w:val="29"/>
        </w:rPr>
      </w:pPr>
    </w:p>
    <w:p w14:paraId="6864B8FE">
      <w:pPr>
        <w:spacing w:before="58" w:line="221" w:lineRule="auto"/>
        <w:ind w:left="2994"/>
        <w:rPr>
          <w:rFonts w:ascii="黑体" w:hAnsi="黑体" w:eastAsia="黑体" w:cs="黑体"/>
          <w:b/>
          <w:bCs/>
          <w:spacing w:val="3"/>
          <w:sz w:val="29"/>
          <w:szCs w:val="29"/>
        </w:rPr>
      </w:pPr>
    </w:p>
    <w:p w14:paraId="43108F19">
      <w:pPr>
        <w:spacing w:before="58" w:line="221" w:lineRule="auto"/>
        <w:ind w:left="2994"/>
        <w:rPr>
          <w:rFonts w:ascii="黑体" w:hAnsi="黑体" w:eastAsia="黑体" w:cs="黑体"/>
          <w:b/>
          <w:bCs/>
          <w:spacing w:val="3"/>
          <w:sz w:val="29"/>
          <w:szCs w:val="29"/>
        </w:rPr>
      </w:pPr>
    </w:p>
    <w:p w14:paraId="5FBF3C19">
      <w:pPr>
        <w:spacing w:before="58" w:line="221" w:lineRule="auto"/>
        <w:rPr>
          <w:rFonts w:ascii="黑体" w:hAnsi="黑体" w:eastAsia="黑体" w:cs="黑体"/>
          <w:b/>
          <w:bCs/>
          <w:spacing w:val="3"/>
          <w:sz w:val="29"/>
          <w:szCs w:val="29"/>
        </w:rPr>
      </w:pPr>
    </w:p>
    <w:p w14:paraId="1374C7ED">
      <w:pPr>
        <w:pStyle w:val="2"/>
        <w:rPr>
          <w:rFonts w:ascii="黑体" w:hAnsi="黑体" w:eastAsia="黑体" w:cs="黑体"/>
          <w:b/>
          <w:bCs/>
          <w:spacing w:val="3"/>
          <w:sz w:val="29"/>
          <w:szCs w:val="29"/>
        </w:rPr>
      </w:pPr>
    </w:p>
    <w:p w14:paraId="5A2035DF">
      <w:pPr>
        <w:spacing w:before="58" w:line="221" w:lineRule="auto"/>
        <w:jc w:val="center"/>
        <w:rPr>
          <w:rFonts w:ascii="宋体" w:hAnsi="宋体" w:eastAsia="宋体" w:cs="宋体"/>
          <w:sz w:val="32"/>
          <w:szCs w:val="32"/>
        </w:rPr>
      </w:pPr>
      <w:r>
        <w:rPr>
          <w:rFonts w:hint="eastAsia" w:ascii="宋体" w:hAnsi="宋体" w:eastAsia="宋体" w:cs="宋体"/>
          <w:b/>
          <w:bCs/>
          <w:spacing w:val="3"/>
          <w:sz w:val="32"/>
          <w:szCs w:val="32"/>
        </w:rPr>
        <w:t>评审办法(综合评分法)</w:t>
      </w:r>
    </w:p>
    <w:p w14:paraId="3B47A323">
      <w:pPr>
        <w:pStyle w:val="2"/>
        <w:spacing w:line="423" w:lineRule="auto"/>
      </w:pPr>
    </w:p>
    <w:p w14:paraId="6D2AD42B">
      <w:pPr>
        <w:spacing w:line="480" w:lineRule="exact"/>
        <w:ind w:left="3" w:firstLine="398" w:firstLineChars="200"/>
        <w:rPr>
          <w:rFonts w:ascii="宋体" w:hAnsi="宋体" w:eastAsia="宋体" w:cs="宋体"/>
        </w:rPr>
      </w:pPr>
      <w:r>
        <w:rPr>
          <w:rFonts w:hint="eastAsia" w:ascii="宋体" w:hAnsi="宋体" w:eastAsia="宋体" w:cs="宋体"/>
          <w:b/>
          <w:bCs/>
          <w:spacing w:val="-6"/>
        </w:rPr>
        <w:t>1</w:t>
      </w:r>
      <w:r>
        <w:rPr>
          <w:rFonts w:hint="eastAsia" w:ascii="宋体" w:hAnsi="宋体" w:eastAsia="宋体" w:cs="宋体"/>
          <w:spacing w:val="-51"/>
        </w:rPr>
        <w:t xml:space="preserve"> </w:t>
      </w:r>
      <w:r>
        <w:rPr>
          <w:rFonts w:hint="eastAsia" w:ascii="宋体" w:hAnsi="宋体" w:eastAsia="宋体" w:cs="宋体"/>
          <w:b/>
          <w:bCs/>
          <w:spacing w:val="-6"/>
        </w:rPr>
        <w:t>.</w:t>
      </w:r>
      <w:r>
        <w:rPr>
          <w:rFonts w:hint="eastAsia" w:ascii="宋体" w:hAnsi="宋体" w:eastAsia="宋体" w:cs="宋体"/>
          <w:spacing w:val="-52"/>
        </w:rPr>
        <w:t xml:space="preserve"> </w:t>
      </w:r>
      <w:r>
        <w:rPr>
          <w:rFonts w:hint="eastAsia" w:ascii="宋体" w:hAnsi="宋体" w:eastAsia="宋体" w:cs="宋体"/>
          <w:b/>
          <w:bCs/>
          <w:spacing w:val="-6"/>
        </w:rPr>
        <w:t>总则</w:t>
      </w:r>
    </w:p>
    <w:p w14:paraId="37895DD1">
      <w:pPr>
        <w:spacing w:line="480" w:lineRule="exact"/>
        <w:ind w:firstLine="432" w:firstLineChars="200"/>
        <w:rPr>
          <w:rFonts w:ascii="宋体" w:hAnsi="宋体" w:eastAsia="宋体" w:cs="宋体"/>
        </w:rPr>
      </w:pPr>
      <w:r>
        <w:rPr>
          <w:rFonts w:hint="eastAsia" w:ascii="宋体" w:hAnsi="宋体" w:eastAsia="宋体" w:cs="宋体"/>
          <w:spacing w:val="3"/>
        </w:rPr>
        <w:t>1.1 评审活动遵循公平、公正、科学、择优的</w:t>
      </w:r>
      <w:r>
        <w:rPr>
          <w:rFonts w:hint="eastAsia" w:ascii="宋体" w:hAnsi="宋体" w:eastAsia="宋体" w:cs="宋体"/>
          <w:spacing w:val="2"/>
        </w:rPr>
        <w:t>原则。</w:t>
      </w:r>
    </w:p>
    <w:p w14:paraId="0D59686A">
      <w:pPr>
        <w:spacing w:line="480" w:lineRule="exact"/>
        <w:ind w:firstLine="424" w:firstLineChars="200"/>
        <w:rPr>
          <w:rFonts w:ascii="宋体" w:hAnsi="宋体" w:eastAsia="宋体" w:cs="宋体"/>
          <w:spacing w:val="1"/>
        </w:rPr>
      </w:pPr>
      <w:r>
        <w:rPr>
          <w:rFonts w:hint="eastAsia" w:ascii="宋体" w:hAnsi="宋体" w:eastAsia="宋体" w:cs="宋体"/>
          <w:spacing w:val="1"/>
        </w:rPr>
        <w:t>1.2 评审活动应在严格保密的情况下进行。评审委员会必须严格遵守保密规定，不得和评审申请人串通，不得泄露与评审活动有关的情况，不得索贿受贿</w:t>
      </w:r>
      <w:r>
        <w:rPr>
          <w:rFonts w:hint="eastAsia" w:ascii="宋体" w:hAnsi="宋体" w:eastAsia="宋体" w:cs="宋体"/>
        </w:rPr>
        <w:t>，不得参加可能影响公正评审的任何</w:t>
      </w:r>
      <w:r>
        <w:rPr>
          <w:rFonts w:hint="eastAsia" w:ascii="宋体" w:hAnsi="宋体" w:eastAsia="宋体" w:cs="宋体"/>
          <w:spacing w:val="2"/>
        </w:rPr>
        <w:t>活动。评审期间比选申请人不得干扰评审工作，不得</w:t>
      </w:r>
      <w:r>
        <w:rPr>
          <w:rFonts w:hint="eastAsia" w:ascii="宋体" w:hAnsi="宋体" w:eastAsia="宋体" w:cs="宋体"/>
          <w:spacing w:val="1"/>
        </w:rPr>
        <w:t>采用行贿或其他不正当手段影响评审。</w:t>
      </w:r>
    </w:p>
    <w:p w14:paraId="500FE20B">
      <w:pPr>
        <w:spacing w:line="360" w:lineRule="exact"/>
        <w:ind w:firstLine="424" w:firstLineChars="200"/>
        <w:rPr>
          <w:rFonts w:ascii="宋体" w:hAnsi="宋体" w:eastAsia="宋体" w:cs="宋体"/>
          <w:spacing w:val="1"/>
        </w:rPr>
      </w:pPr>
      <w:r>
        <w:rPr>
          <w:rFonts w:hint="eastAsia" w:ascii="宋体" w:hAnsi="宋体" w:eastAsia="宋体" w:cs="宋体"/>
          <w:spacing w:val="1"/>
        </w:rPr>
        <w:t>1.3</w:t>
      </w:r>
      <w:r>
        <w:rPr>
          <w:rFonts w:ascii="宋体" w:hAnsi="宋体" w:eastAsia="宋体" w:cs="宋体"/>
          <w:spacing w:val="1"/>
        </w:rPr>
        <w:t xml:space="preserve"> </w:t>
      </w:r>
      <w:r>
        <w:rPr>
          <w:rFonts w:hint="eastAsia" w:ascii="宋体" w:hAnsi="宋体" w:eastAsia="宋体" w:cs="宋体"/>
          <w:spacing w:val="1"/>
        </w:rPr>
        <w:t>比选人只对通过资格审查并完全响应比选申请文件的报价文件进行评审，以经评审后的综合得分最高的作为中选单位。</w:t>
      </w:r>
    </w:p>
    <w:p w14:paraId="0E51933A">
      <w:pPr>
        <w:spacing w:line="480" w:lineRule="exact"/>
        <w:ind w:firstLine="424" w:firstLineChars="200"/>
        <w:rPr>
          <w:rFonts w:ascii="宋体" w:hAnsi="宋体" w:eastAsia="宋体" w:cs="宋体"/>
          <w:spacing w:val="1"/>
        </w:rPr>
      </w:pPr>
      <w:r>
        <w:rPr>
          <w:rFonts w:ascii="宋体" w:hAnsi="宋体" w:eastAsia="宋体" w:cs="宋体"/>
          <w:spacing w:val="1"/>
        </w:rPr>
        <w:t xml:space="preserve">1.4 </w:t>
      </w:r>
      <w:r>
        <w:rPr>
          <w:rFonts w:hint="eastAsia" w:ascii="宋体" w:hAnsi="宋体" w:eastAsia="宋体" w:cs="宋体"/>
          <w:spacing w:val="1"/>
        </w:rPr>
        <w:t>评分及中选候选人排序规则</w:t>
      </w:r>
    </w:p>
    <w:p w14:paraId="64AB6C41">
      <w:pPr>
        <w:spacing w:line="480" w:lineRule="exact"/>
        <w:ind w:firstLine="424" w:firstLineChars="200"/>
        <w:rPr>
          <w:rFonts w:ascii="宋体" w:hAnsi="宋体" w:eastAsia="宋体" w:cs="宋体"/>
          <w:spacing w:val="1"/>
        </w:rPr>
      </w:pPr>
      <w:r>
        <w:rPr>
          <w:rFonts w:ascii="宋体" w:hAnsi="宋体" w:eastAsia="宋体" w:cs="宋体"/>
          <w:spacing w:val="1"/>
        </w:rPr>
        <w:t xml:space="preserve">1.4.1 </w:t>
      </w:r>
      <w:r>
        <w:rPr>
          <w:rFonts w:hint="eastAsia" w:ascii="宋体" w:hAnsi="宋体" w:eastAsia="宋体" w:cs="宋体"/>
          <w:spacing w:val="1"/>
        </w:rPr>
        <w:t>基础原则</w:t>
      </w:r>
      <w:r>
        <w:rPr>
          <w:rFonts w:ascii="宋体" w:hAnsi="宋体" w:eastAsia="宋体" w:cs="宋体"/>
          <w:spacing w:val="1"/>
        </w:rPr>
        <w:t xml:space="preserve">  </w:t>
      </w:r>
    </w:p>
    <w:p w14:paraId="7BC7AC2F">
      <w:pPr>
        <w:spacing w:line="480" w:lineRule="exact"/>
        <w:ind w:firstLine="424" w:firstLineChars="200"/>
        <w:rPr>
          <w:rFonts w:ascii="宋体" w:hAnsi="宋体" w:eastAsia="宋体" w:cs="宋体"/>
          <w:spacing w:val="1"/>
        </w:rPr>
      </w:pPr>
      <w:r>
        <w:rPr>
          <w:rFonts w:hint="eastAsia" w:ascii="宋体" w:hAnsi="宋体" w:eastAsia="宋体" w:cs="宋体"/>
          <w:spacing w:val="1"/>
        </w:rPr>
        <w:t>按综合得分由高至低排序，得分最高者为第一中选候选人。</w:t>
      </w:r>
    </w:p>
    <w:p w14:paraId="6C1BEC09">
      <w:pPr>
        <w:spacing w:line="480" w:lineRule="exact"/>
        <w:ind w:firstLine="424" w:firstLineChars="200"/>
        <w:rPr>
          <w:rFonts w:ascii="宋体" w:hAnsi="宋体" w:eastAsia="宋体" w:cs="宋体"/>
          <w:spacing w:val="1"/>
        </w:rPr>
      </w:pPr>
      <w:r>
        <w:rPr>
          <w:rFonts w:ascii="宋体" w:hAnsi="宋体" w:eastAsia="宋体" w:cs="宋体"/>
          <w:spacing w:val="1"/>
        </w:rPr>
        <w:t xml:space="preserve">1.4.2 </w:t>
      </w:r>
      <w:r>
        <w:rPr>
          <w:rFonts w:hint="eastAsia" w:ascii="宋体" w:hAnsi="宋体" w:eastAsia="宋体" w:cs="宋体"/>
          <w:spacing w:val="1"/>
        </w:rPr>
        <w:t>双人并列处理</w:t>
      </w:r>
      <w:r>
        <w:rPr>
          <w:rFonts w:ascii="宋体" w:hAnsi="宋体" w:eastAsia="宋体" w:cs="宋体"/>
          <w:spacing w:val="1"/>
        </w:rPr>
        <w:t xml:space="preserve">  </w:t>
      </w:r>
    </w:p>
    <w:p w14:paraId="38CB0816">
      <w:pPr>
        <w:spacing w:line="480" w:lineRule="exact"/>
        <w:ind w:firstLine="424" w:firstLineChars="200"/>
        <w:rPr>
          <w:rFonts w:ascii="宋体" w:hAnsi="宋体" w:eastAsia="宋体" w:cs="宋体"/>
          <w:spacing w:val="1"/>
        </w:rPr>
      </w:pPr>
      <w:r>
        <w:rPr>
          <w:rFonts w:hint="eastAsia" w:ascii="宋体" w:hAnsi="宋体" w:eastAsia="宋体" w:cs="宋体"/>
          <w:spacing w:val="1"/>
        </w:rPr>
        <w:t>若两人并列最高：</w:t>
      </w:r>
      <w:r>
        <w:rPr>
          <w:rFonts w:ascii="宋体" w:hAnsi="宋体" w:eastAsia="宋体" w:cs="宋体"/>
          <w:spacing w:val="1"/>
        </w:rPr>
        <w:t xml:space="preserve">  </w:t>
      </w:r>
    </w:p>
    <w:p w14:paraId="5572D7B3">
      <w:pPr>
        <w:spacing w:line="480" w:lineRule="exact"/>
        <w:ind w:firstLine="424" w:firstLineChars="200"/>
        <w:rPr>
          <w:rFonts w:ascii="宋体" w:hAnsi="宋体" w:eastAsia="宋体" w:cs="宋体"/>
          <w:spacing w:val="1"/>
        </w:rPr>
      </w:pPr>
      <w:r>
        <w:rPr>
          <w:rFonts w:hint="eastAsia" w:ascii="宋体" w:hAnsi="宋体" w:eastAsia="宋体" w:cs="宋体"/>
          <w:spacing w:val="1"/>
        </w:rPr>
        <w:t>①</w:t>
      </w:r>
      <w:r>
        <w:rPr>
          <w:rFonts w:ascii="宋体" w:hAnsi="宋体" w:eastAsia="宋体" w:cs="宋体"/>
          <w:spacing w:val="1"/>
        </w:rPr>
        <w:t xml:space="preserve"> </w:t>
      </w:r>
      <w:r>
        <w:rPr>
          <w:rFonts w:hint="eastAsia" w:ascii="宋体" w:hAnsi="宋体" w:eastAsia="宋体" w:cs="宋体"/>
          <w:spacing w:val="1"/>
        </w:rPr>
        <w:t>优先比对第一报价函，报价最低者为第一中选候选人；</w:t>
      </w:r>
      <w:r>
        <w:rPr>
          <w:rFonts w:ascii="宋体" w:hAnsi="宋体" w:eastAsia="宋体" w:cs="宋体"/>
          <w:spacing w:val="1"/>
        </w:rPr>
        <w:t xml:space="preserve">  </w:t>
      </w:r>
    </w:p>
    <w:p w14:paraId="190205CE">
      <w:pPr>
        <w:spacing w:line="480" w:lineRule="exact"/>
        <w:ind w:firstLine="424" w:firstLineChars="200"/>
        <w:rPr>
          <w:rFonts w:ascii="宋体" w:hAnsi="宋体" w:eastAsia="宋体" w:cs="宋体"/>
          <w:spacing w:val="1"/>
        </w:rPr>
      </w:pPr>
      <w:r>
        <w:rPr>
          <w:rFonts w:hint="eastAsia" w:ascii="宋体" w:hAnsi="宋体" w:eastAsia="宋体" w:cs="宋体"/>
          <w:spacing w:val="1"/>
        </w:rPr>
        <w:t>②</w:t>
      </w:r>
      <w:r>
        <w:rPr>
          <w:rFonts w:ascii="宋体" w:hAnsi="宋体" w:eastAsia="宋体" w:cs="宋体"/>
          <w:spacing w:val="1"/>
        </w:rPr>
        <w:t xml:space="preserve"> </w:t>
      </w:r>
      <w:r>
        <w:rPr>
          <w:rFonts w:hint="eastAsia" w:ascii="宋体" w:hAnsi="宋体" w:eastAsia="宋体" w:cs="宋体"/>
          <w:spacing w:val="1"/>
        </w:rPr>
        <w:t>第一报价相同，启用第二报价函，报价最低者为第一中选候选人；</w:t>
      </w:r>
      <w:r>
        <w:rPr>
          <w:rFonts w:ascii="宋体" w:hAnsi="宋体" w:eastAsia="宋体" w:cs="宋体"/>
          <w:spacing w:val="1"/>
        </w:rPr>
        <w:t xml:space="preserve">  </w:t>
      </w:r>
    </w:p>
    <w:p w14:paraId="10370A99">
      <w:pPr>
        <w:spacing w:line="480" w:lineRule="exact"/>
        <w:ind w:firstLine="424" w:firstLineChars="200"/>
        <w:rPr>
          <w:rFonts w:ascii="宋体" w:hAnsi="宋体" w:eastAsia="宋体" w:cs="宋体"/>
          <w:spacing w:val="1"/>
        </w:rPr>
      </w:pPr>
      <w:r>
        <w:rPr>
          <w:rFonts w:hint="eastAsia" w:ascii="宋体" w:hAnsi="宋体" w:eastAsia="宋体" w:cs="宋体"/>
          <w:spacing w:val="1"/>
        </w:rPr>
        <w:t>③</w:t>
      </w:r>
      <w:r>
        <w:rPr>
          <w:rFonts w:ascii="宋体" w:hAnsi="宋体" w:eastAsia="宋体" w:cs="宋体"/>
          <w:spacing w:val="1"/>
        </w:rPr>
        <w:t xml:space="preserve"> </w:t>
      </w:r>
      <w:r>
        <w:rPr>
          <w:rFonts w:hint="eastAsia" w:ascii="宋体" w:hAnsi="宋体" w:eastAsia="宋体" w:cs="宋体"/>
          <w:spacing w:val="1"/>
        </w:rPr>
        <w:t>仍相同，启用第三报价函，报价最低者为第一中选候选人；</w:t>
      </w:r>
      <w:r>
        <w:rPr>
          <w:rFonts w:ascii="宋体" w:hAnsi="宋体" w:eastAsia="宋体" w:cs="宋体"/>
          <w:spacing w:val="1"/>
        </w:rPr>
        <w:t xml:space="preserve">  </w:t>
      </w:r>
    </w:p>
    <w:p w14:paraId="5F8F456A">
      <w:pPr>
        <w:spacing w:line="480" w:lineRule="exact"/>
        <w:ind w:firstLine="424" w:firstLineChars="200"/>
        <w:rPr>
          <w:rFonts w:ascii="宋体" w:hAnsi="宋体" w:eastAsia="宋体" w:cs="宋体"/>
          <w:spacing w:val="1"/>
        </w:rPr>
      </w:pPr>
      <w:r>
        <w:rPr>
          <w:rFonts w:hint="eastAsia" w:ascii="宋体" w:hAnsi="宋体" w:eastAsia="宋体" w:cs="宋体"/>
          <w:spacing w:val="1"/>
        </w:rPr>
        <w:t>④</w:t>
      </w:r>
      <w:r>
        <w:rPr>
          <w:rFonts w:ascii="宋体" w:hAnsi="宋体" w:eastAsia="宋体" w:cs="宋体"/>
          <w:spacing w:val="1"/>
        </w:rPr>
        <w:t xml:space="preserve"> </w:t>
      </w:r>
      <w:r>
        <w:rPr>
          <w:rFonts w:hint="eastAsia" w:ascii="宋体" w:hAnsi="宋体" w:eastAsia="宋体" w:cs="宋体"/>
          <w:spacing w:val="1"/>
        </w:rPr>
        <w:t>三轮报价均相同，比对比选申请人比选文件中提供的第一份业绩证明：</w:t>
      </w:r>
      <w:r>
        <w:rPr>
          <w:rFonts w:ascii="宋体" w:hAnsi="宋体" w:eastAsia="宋体" w:cs="宋体"/>
          <w:spacing w:val="1"/>
        </w:rPr>
        <w:t xml:space="preserve">  </w:t>
      </w:r>
    </w:p>
    <w:p w14:paraId="304A2FA2">
      <w:pPr>
        <w:spacing w:line="480" w:lineRule="exact"/>
        <w:ind w:firstLine="424" w:firstLineChars="200"/>
        <w:rPr>
          <w:rFonts w:ascii="宋体" w:hAnsi="宋体" w:eastAsia="宋体" w:cs="宋体"/>
          <w:spacing w:val="1"/>
        </w:rPr>
      </w:pPr>
      <w:r>
        <w:rPr>
          <w:rFonts w:ascii="宋体" w:hAnsi="宋体" w:eastAsia="宋体" w:cs="宋体"/>
          <w:spacing w:val="1"/>
        </w:rPr>
        <w:t> a)有无</w:t>
      </w:r>
      <w:r>
        <w:rPr>
          <w:rFonts w:hint="eastAsia" w:ascii="宋体" w:hAnsi="宋体" w:eastAsia="宋体" w:cs="宋体"/>
          <w:spacing w:val="1"/>
        </w:rPr>
        <w:t>结算总金额≥</w:t>
      </w:r>
      <w:r>
        <w:rPr>
          <w:rFonts w:ascii="宋体" w:hAnsi="宋体" w:eastAsia="宋体" w:cs="宋体"/>
          <w:spacing w:val="1"/>
        </w:rPr>
        <w:t>100</w:t>
      </w:r>
      <w:r>
        <w:rPr>
          <w:rFonts w:hint="eastAsia" w:ascii="宋体" w:hAnsi="宋体" w:eastAsia="宋体" w:cs="宋体"/>
          <w:spacing w:val="1"/>
        </w:rPr>
        <w:t>万且已实施完结的政府机关</w:t>
      </w:r>
      <w:r>
        <w:rPr>
          <w:rFonts w:ascii="宋体" w:hAnsi="宋体" w:eastAsia="宋体" w:cs="宋体"/>
          <w:spacing w:val="1"/>
        </w:rPr>
        <w:t>/国</w:t>
      </w:r>
      <w:r>
        <w:rPr>
          <w:rFonts w:hint="eastAsia" w:ascii="宋体" w:hAnsi="宋体" w:eastAsia="宋体" w:cs="宋体"/>
          <w:spacing w:val="1"/>
        </w:rPr>
        <w:t>企（事业）单位（</w:t>
      </w:r>
      <w:r>
        <w:rPr>
          <w:rFonts w:ascii="宋体" w:hAnsi="宋体" w:eastAsia="宋体" w:cs="宋体"/>
          <w:spacing w:val="1"/>
        </w:rPr>
        <w:t>不含</w:t>
      </w:r>
      <w:r>
        <w:rPr>
          <w:rFonts w:hint="eastAsia" w:ascii="宋体" w:hAnsi="宋体" w:eastAsia="宋体" w:cs="宋体"/>
          <w:spacing w:val="1"/>
        </w:rPr>
        <w:t>大型商超）食材供应合同；</w:t>
      </w:r>
      <w:r>
        <w:rPr>
          <w:rFonts w:ascii="宋体" w:hAnsi="宋体" w:eastAsia="宋体" w:cs="宋体"/>
          <w:spacing w:val="1"/>
        </w:rPr>
        <w:t xml:space="preserve">  </w:t>
      </w:r>
    </w:p>
    <w:p w14:paraId="73C447F0">
      <w:pPr>
        <w:spacing w:line="480" w:lineRule="exact"/>
        <w:ind w:firstLine="424" w:firstLineChars="200"/>
        <w:rPr>
          <w:rFonts w:ascii="宋体" w:hAnsi="宋体" w:eastAsia="宋体" w:cs="宋体"/>
          <w:spacing w:val="1"/>
        </w:rPr>
      </w:pPr>
      <w:r>
        <w:rPr>
          <w:rFonts w:ascii="宋体" w:hAnsi="宋体" w:eastAsia="宋体" w:cs="宋体"/>
          <w:spacing w:val="1"/>
        </w:rPr>
        <w:t> b)若均满足上一条，则</w:t>
      </w:r>
      <w:r>
        <w:rPr>
          <w:rFonts w:hint="eastAsia" w:ascii="宋体" w:hAnsi="宋体" w:eastAsia="宋体" w:cs="宋体"/>
          <w:spacing w:val="1"/>
        </w:rPr>
        <w:t>优先比对此份合同报价最低者，报价相同则选择此份合同总结算金额最高者。</w:t>
      </w:r>
    </w:p>
    <w:p w14:paraId="3038874D">
      <w:pPr>
        <w:spacing w:line="480" w:lineRule="exact"/>
        <w:ind w:firstLine="424" w:firstLineChars="200"/>
        <w:rPr>
          <w:rFonts w:ascii="宋体" w:hAnsi="宋体" w:eastAsia="宋体" w:cs="宋体"/>
          <w:spacing w:val="1"/>
        </w:rPr>
      </w:pPr>
      <w:r>
        <w:rPr>
          <w:rFonts w:ascii="宋体" w:hAnsi="宋体" w:eastAsia="宋体" w:cs="宋体"/>
          <w:spacing w:val="1"/>
        </w:rPr>
        <w:t xml:space="preserve">1.4.3 </w:t>
      </w:r>
      <w:r>
        <w:rPr>
          <w:rFonts w:hint="eastAsia" w:ascii="宋体" w:hAnsi="宋体" w:eastAsia="宋体" w:cs="宋体"/>
          <w:spacing w:val="1"/>
        </w:rPr>
        <w:t>多人并列处理（三位及以上）</w:t>
      </w:r>
      <w:r>
        <w:rPr>
          <w:rFonts w:ascii="宋体" w:hAnsi="宋体" w:eastAsia="宋体" w:cs="宋体"/>
          <w:spacing w:val="1"/>
        </w:rPr>
        <w:t xml:space="preserve">  </w:t>
      </w:r>
    </w:p>
    <w:p w14:paraId="7F2D7399">
      <w:pPr>
        <w:spacing w:line="480" w:lineRule="exact"/>
        <w:ind w:firstLine="424" w:firstLineChars="200"/>
        <w:rPr>
          <w:rFonts w:ascii="宋体" w:hAnsi="宋体" w:eastAsia="宋体" w:cs="宋体"/>
          <w:spacing w:val="1"/>
        </w:rPr>
      </w:pPr>
      <w:r>
        <w:rPr>
          <w:rFonts w:hint="eastAsia" w:ascii="宋体" w:hAnsi="宋体" w:eastAsia="宋体" w:cs="宋体"/>
          <w:spacing w:val="1"/>
        </w:rPr>
        <w:t>①</w:t>
      </w:r>
      <w:r>
        <w:rPr>
          <w:rFonts w:ascii="宋体" w:hAnsi="宋体" w:eastAsia="宋体" w:cs="宋体"/>
          <w:spacing w:val="1"/>
        </w:rPr>
        <w:t xml:space="preserve"> </w:t>
      </w:r>
      <w:r>
        <w:rPr>
          <w:rFonts w:hint="eastAsia" w:ascii="宋体" w:hAnsi="宋体" w:eastAsia="宋体" w:cs="宋体"/>
          <w:spacing w:val="1"/>
        </w:rPr>
        <w:t>开启第二报价函：</w:t>
      </w:r>
      <w:r>
        <w:rPr>
          <w:rFonts w:ascii="宋体" w:hAnsi="宋体" w:eastAsia="宋体" w:cs="宋体"/>
          <w:spacing w:val="1"/>
        </w:rPr>
        <w:t xml:space="preserve">  </w:t>
      </w:r>
    </w:p>
    <w:p w14:paraId="66C1AD2A">
      <w:pPr>
        <w:spacing w:line="480" w:lineRule="exact"/>
        <w:ind w:firstLine="424" w:firstLineChars="200"/>
        <w:rPr>
          <w:rFonts w:ascii="宋体" w:hAnsi="宋体" w:eastAsia="宋体" w:cs="宋体"/>
          <w:spacing w:val="1"/>
        </w:rPr>
      </w:pPr>
      <w:r>
        <w:rPr>
          <w:rFonts w:ascii="宋体" w:hAnsi="宋体" w:eastAsia="宋体" w:cs="宋体"/>
          <w:spacing w:val="1"/>
        </w:rPr>
        <w:t xml:space="preserve"> - </w:t>
      </w:r>
      <w:r>
        <w:rPr>
          <w:rFonts w:hint="eastAsia" w:ascii="宋体" w:hAnsi="宋体" w:eastAsia="宋体" w:cs="宋体"/>
          <w:spacing w:val="1"/>
        </w:rPr>
        <w:t>剔除唯一最高报价，剩余投标人按以下规则处理：</w:t>
      </w:r>
      <w:r>
        <w:rPr>
          <w:rFonts w:ascii="宋体" w:hAnsi="宋体" w:eastAsia="宋体" w:cs="宋体"/>
          <w:spacing w:val="1"/>
        </w:rPr>
        <w:t xml:space="preserve">  </w:t>
      </w:r>
    </w:p>
    <w:p w14:paraId="0171BAB5">
      <w:pPr>
        <w:spacing w:line="480" w:lineRule="exact"/>
        <w:ind w:firstLine="424" w:firstLineChars="200"/>
        <w:rPr>
          <w:rFonts w:ascii="宋体" w:hAnsi="宋体" w:eastAsia="宋体" w:cs="宋体"/>
          <w:spacing w:val="1"/>
        </w:rPr>
      </w:pPr>
      <w:r>
        <w:rPr>
          <w:rFonts w:ascii="宋体" w:hAnsi="宋体" w:eastAsia="宋体" w:cs="宋体"/>
          <w:spacing w:val="1"/>
        </w:rPr>
        <w:t xml:space="preserve"> a) </w:t>
      </w:r>
      <w:r>
        <w:rPr>
          <w:rFonts w:hint="eastAsia" w:ascii="宋体" w:hAnsi="宋体" w:eastAsia="宋体" w:cs="宋体"/>
          <w:spacing w:val="1"/>
        </w:rPr>
        <w:t>剩余两人：按</w:t>
      </w:r>
      <w:r>
        <w:rPr>
          <w:rFonts w:ascii="宋体" w:hAnsi="宋体" w:eastAsia="宋体" w:cs="宋体"/>
          <w:spacing w:val="1"/>
        </w:rPr>
        <w:t>[1.4.2</w:t>
      </w:r>
      <w:r>
        <w:rPr>
          <w:rFonts w:hint="eastAsia" w:ascii="宋体" w:hAnsi="宋体" w:eastAsia="宋体" w:cs="宋体"/>
          <w:spacing w:val="1"/>
        </w:rPr>
        <w:t>②</w:t>
      </w:r>
      <w:r>
        <w:rPr>
          <w:rFonts w:ascii="宋体" w:hAnsi="宋体" w:eastAsia="宋体" w:cs="宋体"/>
          <w:spacing w:val="1"/>
        </w:rPr>
        <w:t>-</w:t>
      </w:r>
      <w:r>
        <w:rPr>
          <w:rFonts w:hint="eastAsia" w:ascii="宋体" w:hAnsi="宋体" w:eastAsia="宋体" w:cs="宋体"/>
          <w:spacing w:val="1"/>
        </w:rPr>
        <w:t>④</w:t>
      </w:r>
      <w:r>
        <w:rPr>
          <w:rFonts w:ascii="宋体" w:hAnsi="宋体" w:eastAsia="宋体" w:cs="宋体"/>
          <w:spacing w:val="1"/>
        </w:rPr>
        <w:t>]</w:t>
      </w:r>
      <w:r>
        <w:rPr>
          <w:rFonts w:hint="eastAsia" w:ascii="宋体" w:hAnsi="宋体" w:eastAsia="宋体" w:cs="宋体"/>
          <w:spacing w:val="1"/>
        </w:rPr>
        <w:t>条款执行；</w:t>
      </w:r>
      <w:r>
        <w:rPr>
          <w:rFonts w:ascii="宋体" w:hAnsi="宋体" w:eastAsia="宋体" w:cs="宋体"/>
          <w:spacing w:val="1"/>
        </w:rPr>
        <w:t xml:space="preserve">  </w:t>
      </w:r>
    </w:p>
    <w:p w14:paraId="58805CE2">
      <w:pPr>
        <w:spacing w:line="480" w:lineRule="exact"/>
        <w:ind w:firstLine="424" w:firstLineChars="200"/>
        <w:rPr>
          <w:rFonts w:ascii="宋体" w:hAnsi="宋体" w:eastAsia="宋体" w:cs="宋体"/>
          <w:spacing w:val="1"/>
        </w:rPr>
      </w:pPr>
      <w:r>
        <w:rPr>
          <w:rFonts w:ascii="宋体" w:hAnsi="宋体" w:eastAsia="宋体" w:cs="宋体"/>
          <w:spacing w:val="1"/>
        </w:rPr>
        <w:t xml:space="preserve"> b) </w:t>
      </w:r>
      <w:r>
        <w:rPr>
          <w:rFonts w:hint="eastAsia" w:ascii="宋体" w:hAnsi="宋体" w:eastAsia="宋体" w:cs="宋体"/>
          <w:spacing w:val="1"/>
        </w:rPr>
        <w:t>剩余三人及以上：采用合理低价优先法计算基准价，最接近基准价者为第一中选候选人；</w:t>
      </w:r>
      <w:r>
        <w:rPr>
          <w:rFonts w:ascii="宋体" w:hAnsi="宋体" w:eastAsia="宋体" w:cs="宋体"/>
          <w:spacing w:val="1"/>
        </w:rPr>
        <w:t xml:space="preserve">  </w:t>
      </w:r>
    </w:p>
    <w:p w14:paraId="3F49B25C">
      <w:pPr>
        <w:spacing w:line="480" w:lineRule="exact"/>
        <w:ind w:firstLine="424" w:firstLineChars="200"/>
        <w:rPr>
          <w:rFonts w:ascii="宋体" w:hAnsi="宋体" w:eastAsia="宋体" w:cs="宋体"/>
          <w:spacing w:val="1"/>
        </w:rPr>
      </w:pPr>
      <w:r>
        <w:rPr>
          <w:rFonts w:hint="eastAsia" w:ascii="宋体" w:hAnsi="宋体" w:eastAsia="宋体" w:cs="宋体"/>
          <w:spacing w:val="1"/>
        </w:rPr>
        <w:t>②</w:t>
      </w:r>
      <w:r>
        <w:rPr>
          <w:rFonts w:ascii="宋体" w:hAnsi="宋体" w:eastAsia="宋体" w:cs="宋体"/>
          <w:spacing w:val="1"/>
        </w:rPr>
        <w:t xml:space="preserve"> </w:t>
      </w:r>
      <w:r>
        <w:rPr>
          <w:rFonts w:hint="eastAsia" w:ascii="宋体" w:hAnsi="宋体" w:eastAsia="宋体" w:cs="宋体"/>
          <w:spacing w:val="1"/>
        </w:rPr>
        <w:t>仍无法确定，开启第三报价函：</w:t>
      </w:r>
      <w:r>
        <w:rPr>
          <w:rFonts w:ascii="宋体" w:hAnsi="宋体" w:eastAsia="宋体" w:cs="宋体"/>
          <w:spacing w:val="1"/>
        </w:rPr>
        <w:t xml:space="preserve">  </w:t>
      </w:r>
    </w:p>
    <w:p w14:paraId="6459EED6">
      <w:pPr>
        <w:spacing w:line="480" w:lineRule="exact"/>
        <w:ind w:firstLine="424" w:firstLineChars="200"/>
        <w:rPr>
          <w:rFonts w:ascii="宋体" w:hAnsi="宋体" w:eastAsia="宋体" w:cs="宋体"/>
          <w:spacing w:val="1"/>
        </w:rPr>
      </w:pPr>
      <w:r>
        <w:rPr>
          <w:rFonts w:ascii="宋体" w:hAnsi="宋体" w:eastAsia="宋体" w:cs="宋体"/>
          <w:spacing w:val="1"/>
        </w:rPr>
        <w:t xml:space="preserve"> - </w:t>
      </w:r>
      <w:r>
        <w:rPr>
          <w:rFonts w:hint="eastAsia" w:ascii="宋体" w:hAnsi="宋体" w:eastAsia="宋体" w:cs="宋体"/>
          <w:spacing w:val="1"/>
        </w:rPr>
        <w:t>重复①中剔除最高报价及基准价计算流程；</w:t>
      </w:r>
      <w:r>
        <w:rPr>
          <w:rFonts w:ascii="宋体" w:hAnsi="宋体" w:eastAsia="宋体" w:cs="宋体"/>
          <w:spacing w:val="1"/>
        </w:rPr>
        <w:t xml:space="preserve">  </w:t>
      </w:r>
    </w:p>
    <w:p w14:paraId="494FC162">
      <w:pPr>
        <w:spacing w:line="480" w:lineRule="exact"/>
        <w:ind w:firstLine="424" w:firstLineChars="200"/>
        <w:rPr>
          <w:rFonts w:ascii="宋体" w:hAnsi="宋体" w:eastAsia="宋体" w:cs="宋体"/>
          <w:spacing w:val="1"/>
        </w:rPr>
      </w:pPr>
      <w:r>
        <w:rPr>
          <w:rFonts w:hint="eastAsia" w:ascii="宋体" w:hAnsi="宋体" w:eastAsia="宋体" w:cs="宋体"/>
          <w:spacing w:val="1"/>
        </w:rPr>
        <w:t>③</w:t>
      </w:r>
      <w:r>
        <w:rPr>
          <w:rFonts w:ascii="宋体" w:hAnsi="宋体" w:eastAsia="宋体" w:cs="宋体"/>
          <w:spacing w:val="1"/>
        </w:rPr>
        <w:t xml:space="preserve"> </w:t>
      </w:r>
      <w:r>
        <w:rPr>
          <w:rFonts w:hint="eastAsia" w:ascii="宋体" w:hAnsi="宋体" w:eastAsia="宋体" w:cs="宋体"/>
          <w:spacing w:val="1"/>
        </w:rPr>
        <w:t>最终仍相同，按</w:t>
      </w:r>
      <w:r>
        <w:rPr>
          <w:rFonts w:ascii="宋体" w:hAnsi="宋体" w:eastAsia="宋体" w:cs="宋体"/>
          <w:spacing w:val="1"/>
        </w:rPr>
        <w:t>[1.4.2</w:t>
      </w:r>
      <w:r>
        <w:rPr>
          <w:rFonts w:hint="eastAsia" w:ascii="宋体" w:hAnsi="宋体" w:eastAsia="宋体" w:cs="宋体"/>
          <w:spacing w:val="1"/>
        </w:rPr>
        <w:t>④</w:t>
      </w:r>
      <w:r>
        <w:rPr>
          <w:rFonts w:ascii="宋体" w:hAnsi="宋体" w:eastAsia="宋体" w:cs="宋体"/>
          <w:spacing w:val="1"/>
        </w:rPr>
        <w:t>]</w:t>
      </w:r>
      <w:r>
        <w:rPr>
          <w:rFonts w:hint="eastAsia" w:ascii="宋体" w:hAnsi="宋体" w:eastAsia="宋体" w:cs="宋体"/>
          <w:spacing w:val="1"/>
        </w:rPr>
        <w:t>条款执行。</w:t>
      </w:r>
    </w:p>
    <w:p w14:paraId="4F1CF791">
      <w:pPr>
        <w:spacing w:line="480" w:lineRule="exact"/>
        <w:ind w:firstLine="486" w:firstLineChars="200"/>
        <w:rPr>
          <w:rFonts w:ascii="宋体" w:hAnsi="宋体" w:eastAsia="宋体" w:cs="宋体"/>
        </w:rPr>
      </w:pPr>
      <w:r>
        <w:rPr>
          <w:rFonts w:hint="eastAsia" w:ascii="宋体" w:hAnsi="宋体" w:eastAsia="宋体" w:cs="宋体"/>
          <w:b/>
          <w:bCs/>
          <w:spacing w:val="16"/>
        </w:rPr>
        <w:t>2</w:t>
      </w:r>
      <w:r>
        <w:rPr>
          <w:rFonts w:hint="eastAsia" w:ascii="宋体" w:hAnsi="宋体" w:eastAsia="宋体" w:cs="宋体"/>
          <w:spacing w:val="-56"/>
        </w:rPr>
        <w:t xml:space="preserve"> </w:t>
      </w:r>
      <w:r>
        <w:rPr>
          <w:rFonts w:hint="eastAsia" w:ascii="宋体" w:hAnsi="宋体" w:eastAsia="宋体" w:cs="宋体"/>
          <w:b/>
          <w:bCs/>
          <w:spacing w:val="16"/>
        </w:rPr>
        <w:t>.</w:t>
      </w:r>
      <w:r>
        <w:rPr>
          <w:rFonts w:hint="eastAsia" w:ascii="宋体" w:hAnsi="宋体" w:eastAsia="宋体" w:cs="宋体"/>
          <w:spacing w:val="-40"/>
        </w:rPr>
        <w:t xml:space="preserve"> </w:t>
      </w:r>
      <w:r>
        <w:rPr>
          <w:rFonts w:hint="eastAsia" w:ascii="宋体" w:hAnsi="宋体" w:eastAsia="宋体" w:cs="宋体"/>
          <w:b/>
          <w:bCs/>
          <w:spacing w:val="-6"/>
        </w:rPr>
        <w:t>评审委员会及职责</w:t>
      </w:r>
    </w:p>
    <w:p w14:paraId="2BAF111E">
      <w:pPr>
        <w:spacing w:line="480" w:lineRule="exact"/>
        <w:ind w:firstLine="454" w:firstLineChars="200"/>
        <w:rPr>
          <w:rFonts w:ascii="宋体" w:hAnsi="宋体" w:eastAsia="宋体" w:cs="宋体"/>
        </w:rPr>
      </w:pPr>
      <w:r>
        <w:rPr>
          <w:rFonts w:hint="eastAsia" w:ascii="宋体" w:hAnsi="宋体" w:eastAsia="宋体" w:cs="宋体"/>
          <w:b/>
          <w:bCs/>
          <w:spacing w:val="8"/>
        </w:rPr>
        <w:t xml:space="preserve">2.1 </w:t>
      </w:r>
      <w:r>
        <w:rPr>
          <w:rFonts w:hint="eastAsia" w:ascii="宋体" w:hAnsi="宋体" w:eastAsia="宋体" w:cs="宋体"/>
          <w:b/>
          <w:bCs/>
          <w:spacing w:val="-6"/>
        </w:rPr>
        <w:t>评审委员会组成</w:t>
      </w:r>
    </w:p>
    <w:p w14:paraId="2798176A">
      <w:pPr>
        <w:ind w:firstLine="420" w:firstLineChars="200"/>
        <w:rPr>
          <w:rFonts w:asciiTheme="minorEastAsia" w:hAnsiTheme="minorEastAsia" w:eastAsiaTheme="minorEastAsia"/>
        </w:rPr>
      </w:pPr>
      <w:r>
        <w:rPr>
          <w:rFonts w:hint="eastAsia" w:cs="微软雅黑" w:asciiTheme="minorEastAsia" w:hAnsiTheme="minorEastAsia" w:eastAsiaTheme="minorEastAsia"/>
        </w:rPr>
        <w:t>评审委员会由比选人选派人员组成，成员人数为</w:t>
      </w:r>
      <w:r>
        <w:rPr>
          <w:rFonts w:hint="eastAsia" w:asciiTheme="minorEastAsia" w:hAnsiTheme="minorEastAsia" w:eastAsiaTheme="minorEastAsia"/>
        </w:rPr>
        <w:t xml:space="preserve"> 5 </w:t>
      </w:r>
      <w:r>
        <w:rPr>
          <w:rFonts w:hint="eastAsia" w:cs="微软雅黑" w:asciiTheme="minorEastAsia" w:hAnsiTheme="minorEastAsia" w:eastAsiaTheme="minorEastAsia"/>
        </w:rPr>
        <w:t>人。</w:t>
      </w:r>
    </w:p>
    <w:p w14:paraId="61386680">
      <w:pPr>
        <w:spacing w:line="480" w:lineRule="exact"/>
        <w:ind w:firstLine="450" w:firstLineChars="200"/>
        <w:rPr>
          <w:rFonts w:ascii="宋体" w:hAnsi="宋体" w:eastAsia="宋体" w:cs="宋体"/>
        </w:rPr>
      </w:pPr>
      <w:r>
        <w:rPr>
          <w:rFonts w:hint="eastAsia" w:ascii="宋体" w:hAnsi="宋体" w:eastAsia="宋体" w:cs="宋体"/>
          <w:b/>
          <w:bCs/>
          <w:spacing w:val="7"/>
        </w:rPr>
        <w:t xml:space="preserve">2.2 </w:t>
      </w:r>
      <w:r>
        <w:rPr>
          <w:rFonts w:hint="eastAsia" w:ascii="宋体" w:hAnsi="宋体" w:eastAsia="宋体" w:cs="宋体"/>
          <w:b/>
          <w:bCs/>
          <w:spacing w:val="-6"/>
        </w:rPr>
        <w:t>评审委员会职责</w:t>
      </w:r>
    </w:p>
    <w:p w14:paraId="3F6CFE03">
      <w:pPr>
        <w:spacing w:line="480" w:lineRule="exact"/>
        <w:ind w:left="479"/>
        <w:rPr>
          <w:rFonts w:ascii="宋体" w:hAnsi="宋体" w:eastAsia="宋体" w:cs="宋体"/>
        </w:rPr>
      </w:pPr>
      <w:r>
        <w:rPr>
          <w:rFonts w:hint="eastAsia" w:ascii="宋体" w:hAnsi="宋体" w:eastAsia="宋体" w:cs="宋体"/>
          <w:spacing w:val="-2"/>
        </w:rPr>
        <w:t>(1)</w:t>
      </w:r>
      <w:r>
        <w:rPr>
          <w:rFonts w:ascii="宋体" w:hAnsi="宋体" w:eastAsia="宋体" w:cs="宋体"/>
        </w:rPr>
        <w:t xml:space="preserve"> </w:t>
      </w:r>
      <w:r>
        <w:rPr>
          <w:rFonts w:hint="eastAsia" w:ascii="宋体" w:hAnsi="宋体" w:eastAsia="宋体" w:cs="宋体"/>
          <w:spacing w:val="-2"/>
        </w:rPr>
        <w:t>对比选申请文件进行资格审查；</w:t>
      </w:r>
    </w:p>
    <w:p w14:paraId="4B189493">
      <w:pPr>
        <w:spacing w:line="480" w:lineRule="exact"/>
        <w:ind w:left="479"/>
        <w:rPr>
          <w:rFonts w:ascii="宋体" w:hAnsi="宋体" w:eastAsia="宋体" w:cs="宋体"/>
        </w:rPr>
      </w:pPr>
      <w:r>
        <w:rPr>
          <w:rFonts w:hint="eastAsia" w:ascii="宋体" w:hAnsi="宋体" w:eastAsia="宋体" w:cs="宋体"/>
          <w:spacing w:val="-2"/>
        </w:rPr>
        <w:t>(2) 对比选申请文件进行形式评审</w:t>
      </w:r>
      <w:r>
        <w:rPr>
          <w:rFonts w:hint="eastAsia" w:ascii="宋体" w:hAnsi="宋体" w:eastAsia="宋体" w:cs="宋体"/>
          <w:spacing w:val="-7"/>
        </w:rPr>
        <w:t>和响应性评审</w:t>
      </w:r>
      <w:r>
        <w:rPr>
          <w:rFonts w:hint="eastAsia" w:ascii="宋体" w:hAnsi="宋体" w:eastAsia="宋体" w:cs="宋体"/>
          <w:spacing w:val="-2"/>
        </w:rPr>
        <w:t>；</w:t>
      </w:r>
      <w:r>
        <w:rPr>
          <w:rFonts w:ascii="宋体" w:hAnsi="宋体" w:eastAsia="宋体" w:cs="宋体"/>
        </w:rPr>
        <w:t xml:space="preserve"> </w:t>
      </w:r>
    </w:p>
    <w:p w14:paraId="4B3EF756">
      <w:pPr>
        <w:spacing w:line="480" w:lineRule="exact"/>
        <w:ind w:left="479"/>
        <w:rPr>
          <w:rFonts w:ascii="宋体" w:hAnsi="宋体" w:eastAsia="宋体" w:cs="宋体"/>
        </w:rPr>
      </w:pPr>
      <w:r>
        <w:rPr>
          <w:rFonts w:hint="eastAsia" w:ascii="宋体" w:hAnsi="宋体" w:eastAsia="宋体" w:cs="宋体"/>
          <w:spacing w:val="-5"/>
        </w:rPr>
        <w:t>(3)</w:t>
      </w:r>
      <w:r>
        <w:rPr>
          <w:rFonts w:ascii="宋体" w:hAnsi="宋体" w:eastAsia="宋体" w:cs="宋体"/>
          <w:spacing w:val="-5"/>
        </w:rPr>
        <w:t xml:space="preserve"> </w:t>
      </w:r>
      <w:r>
        <w:rPr>
          <w:rFonts w:hint="eastAsia" w:ascii="宋体" w:hAnsi="宋体" w:eastAsia="宋体" w:cs="宋体"/>
          <w:spacing w:val="-5"/>
        </w:rPr>
        <w:t>进行详细评审并确定中选人；</w:t>
      </w:r>
    </w:p>
    <w:p w14:paraId="36CCE537">
      <w:pPr>
        <w:spacing w:line="480" w:lineRule="exact"/>
        <w:ind w:left="479"/>
        <w:rPr>
          <w:rFonts w:ascii="宋体" w:hAnsi="宋体" w:eastAsia="宋体" w:cs="宋体"/>
        </w:rPr>
      </w:pPr>
      <w:r>
        <w:rPr>
          <w:rFonts w:hint="eastAsia" w:ascii="宋体" w:hAnsi="宋体" w:eastAsia="宋体" w:cs="宋体"/>
          <w:spacing w:val="-2"/>
        </w:rPr>
        <w:t>(</w:t>
      </w:r>
      <w:r>
        <w:rPr>
          <w:rFonts w:ascii="宋体" w:hAnsi="宋体" w:eastAsia="宋体" w:cs="宋体"/>
          <w:spacing w:val="-2"/>
        </w:rPr>
        <w:t>4</w:t>
      </w:r>
      <w:r>
        <w:rPr>
          <w:rFonts w:hint="eastAsia" w:ascii="宋体" w:hAnsi="宋体" w:eastAsia="宋体" w:cs="宋体"/>
          <w:spacing w:val="-2"/>
        </w:rPr>
        <w:t>)</w:t>
      </w:r>
      <w:r>
        <w:rPr>
          <w:rFonts w:ascii="宋体" w:hAnsi="宋体" w:eastAsia="宋体" w:cs="宋体"/>
          <w:spacing w:val="-2"/>
        </w:rPr>
        <w:t xml:space="preserve"> </w:t>
      </w:r>
      <w:r>
        <w:rPr>
          <w:rFonts w:hint="eastAsia" w:ascii="宋体" w:hAnsi="宋体" w:eastAsia="宋体" w:cs="宋体"/>
          <w:spacing w:val="-2"/>
        </w:rPr>
        <w:t>完成书面比选报告提交比选人。</w:t>
      </w:r>
    </w:p>
    <w:p w14:paraId="0DC3EDFE">
      <w:pPr>
        <w:spacing w:line="480" w:lineRule="exact"/>
        <w:ind w:firstLine="478" w:firstLineChars="200"/>
        <w:rPr>
          <w:rFonts w:ascii="宋体" w:hAnsi="宋体" w:eastAsia="宋体" w:cs="宋体"/>
        </w:rPr>
      </w:pPr>
      <w:r>
        <w:rPr>
          <w:rFonts w:hint="eastAsia" w:ascii="宋体" w:hAnsi="宋体" w:eastAsia="宋体" w:cs="宋体"/>
          <w:b/>
          <w:bCs/>
          <w:spacing w:val="14"/>
        </w:rPr>
        <w:t>3</w:t>
      </w:r>
      <w:r>
        <w:rPr>
          <w:rFonts w:hint="eastAsia" w:ascii="宋体" w:hAnsi="宋体" w:eastAsia="宋体" w:cs="宋体"/>
          <w:spacing w:val="-57"/>
        </w:rPr>
        <w:t xml:space="preserve"> </w:t>
      </w:r>
      <w:r>
        <w:rPr>
          <w:rFonts w:hint="eastAsia" w:ascii="宋体" w:hAnsi="宋体" w:eastAsia="宋体" w:cs="宋体"/>
          <w:b/>
          <w:bCs/>
          <w:spacing w:val="14"/>
        </w:rPr>
        <w:t>.</w:t>
      </w:r>
      <w:r>
        <w:rPr>
          <w:rFonts w:hint="eastAsia" w:ascii="宋体" w:hAnsi="宋体" w:eastAsia="宋体" w:cs="宋体"/>
          <w:b/>
          <w:bCs/>
          <w:spacing w:val="-6"/>
        </w:rPr>
        <w:t>评审程序</w:t>
      </w:r>
    </w:p>
    <w:p w14:paraId="6CDE3B3D">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3.1 </w:t>
      </w:r>
      <w:r>
        <w:rPr>
          <w:rFonts w:hint="eastAsia" w:ascii="宋体" w:hAnsi="宋体" w:eastAsia="宋体" w:cs="宋体"/>
          <w:b/>
          <w:bCs/>
          <w:spacing w:val="-6"/>
        </w:rPr>
        <w:t>评审准备</w:t>
      </w:r>
    </w:p>
    <w:p w14:paraId="76818BCE">
      <w:pPr>
        <w:spacing w:line="480" w:lineRule="exact"/>
        <w:ind w:right="18" w:firstLine="432" w:firstLineChars="200"/>
        <w:rPr>
          <w:rFonts w:ascii="宋体" w:hAnsi="宋体" w:eastAsia="宋体" w:cs="宋体"/>
        </w:rPr>
      </w:pPr>
      <w:r>
        <w:rPr>
          <w:rFonts w:hint="eastAsia" w:ascii="宋体" w:hAnsi="宋体" w:eastAsia="宋体" w:cs="宋体"/>
          <w:spacing w:val="3"/>
        </w:rPr>
        <w:t>评审委员会开始比选工作之前，必须首先认真研读比选文件、评审办法和评审所需的其他重</w:t>
      </w:r>
      <w:r>
        <w:rPr>
          <w:rFonts w:hint="eastAsia" w:ascii="宋体" w:hAnsi="宋体" w:eastAsia="宋体" w:cs="宋体"/>
          <w:spacing w:val="-1"/>
        </w:rPr>
        <w:t>要信息与数据，了解和熟悉评审项目基本情况。</w:t>
      </w:r>
    </w:p>
    <w:p w14:paraId="0EB643B3">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3.2 </w:t>
      </w:r>
      <w:r>
        <w:rPr>
          <w:rFonts w:hint="eastAsia" w:ascii="宋体" w:hAnsi="宋体" w:eastAsia="宋体" w:cs="宋体"/>
          <w:b/>
          <w:bCs/>
          <w:spacing w:val="-6"/>
        </w:rPr>
        <w:t>评审程序</w:t>
      </w:r>
    </w:p>
    <w:p w14:paraId="0DA1BE52">
      <w:pPr>
        <w:spacing w:line="480" w:lineRule="exact"/>
        <w:ind w:firstLine="392" w:firstLineChars="200"/>
        <w:rPr>
          <w:rFonts w:ascii="宋体" w:hAnsi="宋体" w:eastAsia="宋体" w:cs="宋体"/>
        </w:rPr>
      </w:pPr>
      <w:r>
        <w:rPr>
          <w:rFonts w:hint="eastAsia" w:ascii="宋体" w:hAnsi="宋体" w:eastAsia="宋体" w:cs="宋体"/>
          <w:spacing w:val="-7"/>
        </w:rPr>
        <w:t>(1)初步评审：资格评审、形式评审和响应性评审；</w:t>
      </w:r>
    </w:p>
    <w:p w14:paraId="7C498D04">
      <w:pPr>
        <w:spacing w:line="480" w:lineRule="exact"/>
        <w:ind w:firstLine="392" w:firstLineChars="200"/>
        <w:rPr>
          <w:rFonts w:ascii="宋体" w:hAnsi="宋体" w:eastAsia="宋体" w:cs="宋体"/>
        </w:rPr>
      </w:pPr>
      <w:r>
        <w:rPr>
          <w:rFonts w:hint="eastAsia" w:ascii="宋体" w:hAnsi="宋体" w:eastAsia="宋体" w:cs="宋体"/>
          <w:spacing w:val="-7"/>
        </w:rPr>
        <w:t>(2)详细评审；</w:t>
      </w:r>
    </w:p>
    <w:p w14:paraId="0A88752A">
      <w:pPr>
        <w:spacing w:line="480" w:lineRule="exact"/>
        <w:ind w:left="350"/>
        <w:rPr>
          <w:rFonts w:ascii="宋体" w:hAnsi="宋体" w:eastAsia="宋体" w:cs="宋体"/>
        </w:rPr>
      </w:pPr>
      <w:r>
        <w:rPr>
          <w:rFonts w:hint="eastAsia" w:ascii="宋体" w:hAnsi="宋体" w:eastAsia="宋体" w:cs="宋体"/>
          <w:spacing w:val="-6"/>
        </w:rPr>
        <w:t>(3)</w:t>
      </w:r>
      <w:r>
        <w:rPr>
          <w:rFonts w:hint="eastAsia" w:ascii="宋体" w:hAnsi="宋体" w:eastAsia="宋体" w:cs="宋体"/>
          <w:spacing w:val="-3"/>
        </w:rPr>
        <w:t>比选申请文件的澄清；</w:t>
      </w:r>
    </w:p>
    <w:p w14:paraId="26D510CC">
      <w:pPr>
        <w:spacing w:line="480" w:lineRule="exact"/>
        <w:ind w:left="350"/>
        <w:rPr>
          <w:rFonts w:ascii="宋体" w:hAnsi="宋体" w:eastAsia="宋体" w:cs="宋体"/>
          <w:b/>
          <w:bCs/>
          <w:spacing w:val="-9"/>
        </w:rPr>
      </w:pPr>
      <w:r>
        <w:rPr>
          <w:rFonts w:hint="eastAsia" w:ascii="宋体" w:hAnsi="宋体" w:eastAsia="宋体" w:cs="宋体"/>
          <w:spacing w:val="-3"/>
        </w:rPr>
        <w:t>(4)确定中选人。</w:t>
      </w:r>
    </w:p>
    <w:p w14:paraId="5FCB1B8E">
      <w:pPr>
        <w:spacing w:line="480" w:lineRule="exact"/>
        <w:ind w:firstLine="386" w:firstLineChars="200"/>
        <w:rPr>
          <w:rFonts w:ascii="宋体" w:hAnsi="宋体" w:eastAsia="宋体" w:cs="宋体"/>
          <w:b/>
          <w:bCs/>
          <w:spacing w:val="-9"/>
        </w:rPr>
      </w:pPr>
      <w:r>
        <w:rPr>
          <w:rFonts w:hint="eastAsia" w:ascii="宋体" w:hAnsi="宋体" w:eastAsia="宋体" w:cs="宋体"/>
          <w:b/>
          <w:bCs/>
          <w:spacing w:val="-9"/>
        </w:rPr>
        <w:t>4.初步评审</w:t>
      </w:r>
    </w:p>
    <w:p w14:paraId="42A07F80">
      <w:pPr>
        <w:spacing w:line="480" w:lineRule="exact"/>
        <w:ind w:firstLine="424" w:firstLineChars="200"/>
        <w:rPr>
          <w:rFonts w:ascii="宋体" w:hAnsi="宋体" w:eastAsia="宋体" w:cs="宋体"/>
          <w:spacing w:val="-1"/>
        </w:rPr>
      </w:pPr>
      <w:r>
        <w:rPr>
          <w:rFonts w:hint="eastAsia" w:ascii="宋体" w:hAnsi="宋体" w:eastAsia="宋体" w:cs="宋体"/>
          <w:spacing w:val="1"/>
        </w:rPr>
        <w:t>评审委员会将对比选申请文件进行初步评审。只有通过初步评审的比选申</w:t>
      </w:r>
      <w:r>
        <w:rPr>
          <w:rFonts w:hint="eastAsia" w:ascii="宋体" w:hAnsi="宋体" w:eastAsia="宋体" w:cs="宋体"/>
        </w:rPr>
        <w:t>请文件才能进入下</w:t>
      </w:r>
      <w:r>
        <w:rPr>
          <w:rFonts w:hint="eastAsia" w:ascii="宋体" w:hAnsi="宋体" w:eastAsia="宋体" w:cs="宋体"/>
          <w:spacing w:val="-1"/>
        </w:rPr>
        <w:t>一阶段评审。</w:t>
      </w:r>
    </w:p>
    <w:p w14:paraId="39107F65">
      <w:pPr>
        <w:spacing w:line="480" w:lineRule="exact"/>
        <w:ind w:firstLine="402" w:firstLineChars="200"/>
        <w:rPr>
          <w:rFonts w:ascii="宋体" w:hAnsi="宋体" w:eastAsia="宋体" w:cs="宋体"/>
        </w:rPr>
      </w:pPr>
      <w:r>
        <w:rPr>
          <w:rFonts w:hint="eastAsia" w:ascii="宋体" w:hAnsi="宋体" w:eastAsia="宋体" w:cs="宋体"/>
          <w:b/>
          <w:bCs/>
          <w:spacing w:val="-5"/>
        </w:rPr>
        <w:t>4.</w:t>
      </w:r>
      <w:r>
        <w:rPr>
          <w:rFonts w:ascii="宋体" w:hAnsi="宋体" w:eastAsia="宋体" w:cs="宋体"/>
          <w:b/>
          <w:bCs/>
          <w:spacing w:val="-5"/>
        </w:rPr>
        <w:t>1</w:t>
      </w:r>
      <w:r>
        <w:rPr>
          <w:rFonts w:hint="eastAsia" w:ascii="宋体" w:hAnsi="宋体" w:eastAsia="宋体" w:cs="宋体"/>
          <w:b/>
          <w:bCs/>
          <w:spacing w:val="-5"/>
        </w:rPr>
        <w:t xml:space="preserve"> 资格评审</w:t>
      </w:r>
    </w:p>
    <w:p w14:paraId="3F7CB6E0">
      <w:pPr>
        <w:spacing w:line="480" w:lineRule="exact"/>
        <w:ind w:right="14" w:firstLine="459"/>
        <w:rPr>
          <w:rFonts w:ascii="宋体" w:hAnsi="宋体" w:eastAsia="宋体" w:cs="宋体"/>
          <w:spacing w:val="-1"/>
        </w:rPr>
      </w:pPr>
      <w:r>
        <w:rPr>
          <w:rFonts w:hint="eastAsia" w:ascii="宋体" w:hAnsi="宋体" w:eastAsia="宋体" w:cs="宋体"/>
          <w:spacing w:val="-1"/>
        </w:rPr>
        <w:t>评审委员会根据比选文件资格审查要求，对比选申请人的资质、业绩、信誉等进行评审，判定其是否满足资格审查要求。</w:t>
      </w:r>
    </w:p>
    <w:p w14:paraId="0D7F1842">
      <w:pPr>
        <w:spacing w:line="480" w:lineRule="exact"/>
        <w:ind w:right="14" w:firstLine="459"/>
        <w:rPr>
          <w:highlight w:val="yellow"/>
        </w:rPr>
      </w:pPr>
      <w:r>
        <w:rPr>
          <w:rFonts w:hint="eastAsia" w:ascii="宋体" w:hAnsi="宋体" w:eastAsia="宋体" w:cs="宋体"/>
          <w:spacing w:val="-1"/>
        </w:rPr>
        <w:t>比选申请文件任一项不满足比选文件资格审查要求的，或未按照比选文件第六章比选申请文件格式要求提供有效证明材料的，资格审查不予通过，否决其比选申请报价。</w:t>
      </w:r>
    </w:p>
    <w:p w14:paraId="176E770F">
      <w:pPr>
        <w:spacing w:line="480" w:lineRule="exact"/>
        <w:ind w:firstLine="386" w:firstLineChars="200"/>
        <w:rPr>
          <w:rFonts w:ascii="宋体" w:hAnsi="宋体" w:eastAsia="宋体" w:cs="宋体"/>
          <w:b/>
          <w:bCs/>
          <w:spacing w:val="-6"/>
        </w:rPr>
      </w:pPr>
      <w:r>
        <w:rPr>
          <w:rFonts w:hint="eastAsia" w:ascii="宋体" w:hAnsi="宋体" w:eastAsia="宋体" w:cs="宋体"/>
          <w:b/>
          <w:bCs/>
          <w:spacing w:val="-9"/>
        </w:rPr>
        <w:t>4.</w:t>
      </w:r>
      <w:r>
        <w:rPr>
          <w:rFonts w:ascii="宋体" w:hAnsi="宋体" w:eastAsia="宋体" w:cs="宋体"/>
          <w:b/>
          <w:bCs/>
          <w:spacing w:val="-9"/>
        </w:rPr>
        <w:t>2</w:t>
      </w:r>
      <w:r>
        <w:rPr>
          <w:rFonts w:hint="eastAsia" w:ascii="宋体" w:hAnsi="宋体" w:eastAsia="宋体" w:cs="宋体"/>
          <w:b/>
          <w:bCs/>
          <w:spacing w:val="-9"/>
        </w:rPr>
        <w:t xml:space="preserve"> 形式评审和响应性评审</w:t>
      </w:r>
    </w:p>
    <w:p w14:paraId="1DED50FD">
      <w:pPr>
        <w:spacing w:line="480" w:lineRule="exact"/>
        <w:ind w:right="14" w:firstLine="459"/>
        <w:rPr>
          <w:rFonts w:ascii="宋体" w:hAnsi="宋体" w:eastAsia="宋体" w:cs="宋体"/>
          <w:spacing w:val="-1"/>
        </w:rPr>
      </w:pPr>
      <w:r>
        <w:rPr>
          <w:rFonts w:hint="eastAsia" w:ascii="宋体" w:hAnsi="宋体" w:eastAsia="宋体" w:cs="宋体"/>
          <w:spacing w:val="-1"/>
        </w:rPr>
        <w:t>（1）比选申请文件按比选文件规定格式、内容填写，字迹清晰可辨、内容齐全完整。</w:t>
      </w:r>
    </w:p>
    <w:p w14:paraId="3899D695">
      <w:pPr>
        <w:spacing w:line="480" w:lineRule="exact"/>
        <w:ind w:right="14" w:firstLine="459"/>
        <w:rPr>
          <w:rFonts w:ascii="宋体" w:hAnsi="宋体" w:eastAsia="宋体" w:cs="宋体"/>
          <w:spacing w:val="-1"/>
        </w:rPr>
      </w:pPr>
      <w:r>
        <w:rPr>
          <w:rFonts w:hint="eastAsia" w:ascii="宋体" w:hAnsi="宋体" w:eastAsia="宋体" w:cs="宋体"/>
          <w:spacing w:val="-1"/>
        </w:rPr>
        <w:t>（2）比选申请文件上法定代表人或其委托代理人的签字或签章、比选申请人的单位章盖章齐全，符合比选文件规定。</w:t>
      </w:r>
    </w:p>
    <w:p w14:paraId="6F1A395C">
      <w:pPr>
        <w:spacing w:line="480" w:lineRule="exact"/>
        <w:ind w:right="14" w:firstLine="459"/>
        <w:rPr>
          <w:rFonts w:ascii="宋体" w:hAnsi="宋体" w:eastAsia="宋体" w:cs="宋体"/>
          <w:spacing w:val="-1"/>
        </w:rPr>
      </w:pPr>
      <w:r>
        <w:rPr>
          <w:rFonts w:hint="eastAsia" w:ascii="宋体" w:hAnsi="宋体" w:eastAsia="宋体" w:cs="宋体"/>
          <w:spacing w:val="-1"/>
        </w:rPr>
        <w:t>（3）比选申请人法定代表人授权委托代理人签署比选申请文件的，须提交授权委托书和法定代表人身份证明，且授权人和被授权人均在授权委托书上签名或签章。</w:t>
      </w:r>
    </w:p>
    <w:p w14:paraId="003F7736">
      <w:pPr>
        <w:spacing w:line="480" w:lineRule="exact"/>
        <w:ind w:right="14" w:firstLine="459"/>
        <w:rPr>
          <w:rFonts w:ascii="宋体" w:hAnsi="宋体" w:eastAsia="宋体" w:cs="宋体"/>
          <w:spacing w:val="-1"/>
        </w:rPr>
      </w:pPr>
      <w:r>
        <w:rPr>
          <w:rFonts w:hint="eastAsia" w:ascii="宋体" w:hAnsi="宋体" w:eastAsia="宋体" w:cs="宋体"/>
          <w:spacing w:val="-1"/>
        </w:rPr>
        <w:t>（4）比选申请人法定代表人亲自签署比选申请文件的，提供了法定代表人身份证明，且法定代表人在法定代表人身份证明上签名或签章。</w:t>
      </w:r>
    </w:p>
    <w:p w14:paraId="26ADE190">
      <w:pPr>
        <w:spacing w:line="480" w:lineRule="exact"/>
        <w:ind w:right="14" w:firstLine="459"/>
        <w:rPr>
          <w:rFonts w:ascii="宋体" w:hAnsi="宋体" w:eastAsia="宋体" w:cs="宋体"/>
          <w:spacing w:val="-1"/>
        </w:rPr>
      </w:pPr>
      <w:r>
        <w:rPr>
          <w:rFonts w:hint="eastAsia" w:ascii="宋体" w:hAnsi="宋体" w:eastAsia="宋体" w:cs="宋体"/>
          <w:spacing w:val="-1"/>
        </w:rPr>
        <w:t>（5）比选申请函上的报价比例不能高于公布的最高比选申请限价。</w:t>
      </w:r>
    </w:p>
    <w:p w14:paraId="1D4CA3E5">
      <w:pPr>
        <w:spacing w:line="480" w:lineRule="exact"/>
        <w:ind w:firstLine="478" w:firstLineChars="200"/>
        <w:rPr>
          <w:rFonts w:ascii="宋体" w:hAnsi="宋体" w:eastAsia="宋体" w:cs="宋体"/>
        </w:rPr>
      </w:pPr>
      <w:r>
        <w:rPr>
          <w:rFonts w:hint="eastAsia" w:ascii="宋体" w:hAnsi="宋体" w:eastAsia="宋体" w:cs="宋体"/>
          <w:b/>
          <w:bCs/>
          <w:spacing w:val="14"/>
        </w:rPr>
        <w:t>5</w:t>
      </w:r>
      <w:r>
        <w:rPr>
          <w:rFonts w:hint="eastAsia" w:ascii="宋体" w:hAnsi="宋体" w:eastAsia="宋体" w:cs="宋体"/>
          <w:spacing w:val="-61"/>
        </w:rPr>
        <w:t xml:space="preserve"> </w:t>
      </w:r>
      <w:r>
        <w:rPr>
          <w:rFonts w:hint="eastAsia" w:ascii="宋体" w:hAnsi="宋体" w:eastAsia="宋体" w:cs="宋体"/>
          <w:b/>
          <w:bCs/>
          <w:spacing w:val="14"/>
        </w:rPr>
        <w:t>.详细评审</w:t>
      </w:r>
    </w:p>
    <w:p w14:paraId="13216C2C">
      <w:pPr>
        <w:spacing w:line="480" w:lineRule="exact"/>
        <w:ind w:right="313" w:firstLine="436" w:firstLineChars="200"/>
        <w:rPr>
          <w:rFonts w:ascii="宋体" w:hAnsi="宋体" w:eastAsia="宋体" w:cs="宋体"/>
          <w:spacing w:val="-3"/>
        </w:rPr>
      </w:pPr>
      <w:r>
        <w:rPr>
          <w:rFonts w:hint="eastAsia" w:ascii="宋体" w:hAnsi="宋体" w:eastAsia="宋体" w:cs="宋体"/>
          <w:spacing w:val="4"/>
        </w:rPr>
        <w:t>评审委员会对通过资格审查、形式评审的比选申请文件进行详细评审，满</w:t>
      </w:r>
      <w:r>
        <w:rPr>
          <w:rFonts w:hint="eastAsia" w:ascii="宋体" w:hAnsi="宋体" w:eastAsia="宋体" w:cs="宋体"/>
          <w:spacing w:val="3"/>
        </w:rPr>
        <w:t>分100分；评分因</w:t>
      </w:r>
      <w:r>
        <w:rPr>
          <w:rFonts w:hint="eastAsia" w:ascii="宋体" w:hAnsi="宋体" w:eastAsia="宋体" w:cs="宋体"/>
          <w:spacing w:val="-3"/>
        </w:rPr>
        <w:t>素与权重分值如下表：</w:t>
      </w:r>
    </w:p>
    <w:p w14:paraId="720CD58A">
      <w:pPr>
        <w:pStyle w:val="2"/>
        <w:rPr>
          <w:rFonts w:ascii="宋体" w:hAnsi="宋体" w:cs="宋体"/>
          <w:spacing w:val="-3"/>
          <w:sz w:val="21"/>
        </w:rPr>
      </w:pPr>
    </w:p>
    <w:p w14:paraId="7B35671A">
      <w:pPr>
        <w:pStyle w:val="2"/>
      </w:pPr>
    </w:p>
    <w:p w14:paraId="61E3298D">
      <w:pPr>
        <w:rPr>
          <w:rFonts w:eastAsiaTheme="minorEastAsia"/>
        </w:rPr>
      </w:pPr>
    </w:p>
    <w:p w14:paraId="33604693">
      <w:pPr>
        <w:pStyle w:val="2"/>
      </w:pPr>
    </w:p>
    <w:p w14:paraId="163AAA5E">
      <w:pPr>
        <w:rPr>
          <w:rFonts w:eastAsiaTheme="minorEastAsia"/>
        </w:rPr>
      </w:pPr>
    </w:p>
    <w:p w14:paraId="35E11207">
      <w:pPr>
        <w:pStyle w:val="2"/>
      </w:pPr>
    </w:p>
    <w:p w14:paraId="682E9669">
      <w:pPr>
        <w:rPr>
          <w:rFonts w:eastAsiaTheme="minorEastAsia"/>
        </w:rPr>
      </w:pPr>
    </w:p>
    <w:p w14:paraId="4F4A4D75">
      <w:pPr>
        <w:pStyle w:val="2"/>
      </w:pPr>
    </w:p>
    <w:p w14:paraId="6CC14C5D">
      <w:pPr>
        <w:rPr>
          <w:rFonts w:eastAsiaTheme="minorEastAsia"/>
        </w:rPr>
      </w:pPr>
    </w:p>
    <w:p w14:paraId="5BB2F6BA">
      <w:pPr>
        <w:pStyle w:val="2"/>
      </w:pPr>
    </w:p>
    <w:p w14:paraId="6527D8FD">
      <w:pPr>
        <w:rPr>
          <w:rFonts w:eastAsiaTheme="minorEastAsia"/>
        </w:rPr>
      </w:pPr>
    </w:p>
    <w:p w14:paraId="4C40B472">
      <w:pPr>
        <w:pStyle w:val="2"/>
      </w:pPr>
    </w:p>
    <w:p w14:paraId="4E4E82CA">
      <w:pPr>
        <w:rPr>
          <w:rFonts w:eastAsiaTheme="minorEastAsia"/>
        </w:rPr>
      </w:pPr>
    </w:p>
    <w:p w14:paraId="2DB94FDA">
      <w:pPr>
        <w:pStyle w:val="2"/>
      </w:pPr>
    </w:p>
    <w:p w14:paraId="0A769BDC">
      <w:pPr>
        <w:rPr>
          <w:rFonts w:eastAsiaTheme="minorEastAsia"/>
        </w:rPr>
      </w:pPr>
    </w:p>
    <w:p w14:paraId="5355D980">
      <w:pPr>
        <w:pStyle w:val="2"/>
      </w:pPr>
    </w:p>
    <w:p w14:paraId="7A862CDA">
      <w:pPr>
        <w:rPr>
          <w:rFonts w:eastAsiaTheme="minorEastAsia"/>
        </w:rPr>
      </w:pPr>
    </w:p>
    <w:p w14:paraId="53B872F2">
      <w:pPr>
        <w:pStyle w:val="2"/>
      </w:pPr>
    </w:p>
    <w:p w14:paraId="042FF687">
      <w:pPr>
        <w:rPr>
          <w:rFonts w:eastAsiaTheme="minorEastAsia"/>
        </w:rPr>
      </w:pPr>
    </w:p>
    <w:p w14:paraId="2B5F1177">
      <w:pPr>
        <w:pStyle w:val="2"/>
      </w:pPr>
    </w:p>
    <w:p w14:paraId="62653DB8">
      <w:pPr>
        <w:pStyle w:val="2"/>
      </w:pPr>
    </w:p>
    <w:p w14:paraId="64C6B3B6">
      <w:pPr>
        <w:rPr>
          <w:rFonts w:eastAsiaTheme="minorEastAsia"/>
        </w:rPr>
      </w:pPr>
    </w:p>
    <w:p w14:paraId="2AD2E626">
      <w:pPr>
        <w:rPr>
          <w:rFonts w:eastAsiaTheme="minorEastAsia"/>
        </w:rPr>
      </w:pPr>
    </w:p>
    <w:p w14:paraId="1BFBD1FB">
      <w:pPr>
        <w:rPr>
          <w:rFonts w:eastAsiaTheme="minorEastAsia"/>
        </w:rPr>
      </w:pPr>
    </w:p>
    <w:tbl>
      <w:tblPr>
        <w:tblStyle w:val="31"/>
        <w:tblW w:w="9773" w:type="dxa"/>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568"/>
        <w:gridCol w:w="992"/>
        <w:gridCol w:w="1276"/>
        <w:gridCol w:w="709"/>
        <w:gridCol w:w="5811"/>
      </w:tblGrid>
      <w:tr w14:paraId="3CD85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73" w:type="dxa"/>
            <w:gridSpan w:val="6"/>
            <w:vAlign w:val="center"/>
          </w:tcPr>
          <w:p w14:paraId="5239D3CB">
            <w:pPr>
              <w:jc w:val="center"/>
              <w:rPr>
                <w:rFonts w:ascii="宋体" w:hAnsi="宋体" w:eastAsia="宋体"/>
                <w:b/>
              </w:rPr>
            </w:pPr>
            <w:r>
              <w:rPr>
                <w:rFonts w:hint="eastAsia" w:ascii="宋体" w:hAnsi="宋体" w:eastAsia="宋体" w:cs="宋体"/>
                <w:b/>
              </w:rPr>
              <w:t>评分因素与权重分值</w:t>
            </w:r>
          </w:p>
        </w:tc>
      </w:tr>
      <w:tr w14:paraId="6F81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17" w:type="dxa"/>
            <w:vMerge w:val="restart"/>
            <w:tcBorders>
              <w:bottom w:val="nil"/>
            </w:tcBorders>
            <w:vAlign w:val="center"/>
          </w:tcPr>
          <w:p w14:paraId="6B648DE6">
            <w:pPr>
              <w:jc w:val="center"/>
              <w:rPr>
                <w:rFonts w:ascii="宋体" w:hAnsi="宋体" w:eastAsia="宋体" w:cs="宋体"/>
                <w:b/>
              </w:rPr>
            </w:pPr>
            <w:r>
              <w:rPr>
                <w:rFonts w:hint="eastAsia" w:ascii="宋体" w:hAnsi="宋体" w:eastAsia="宋体" w:cs="宋体"/>
                <w:b/>
              </w:rPr>
              <w:t>序</w:t>
            </w:r>
          </w:p>
          <w:p w14:paraId="1EC5838E">
            <w:pPr>
              <w:jc w:val="center"/>
              <w:rPr>
                <w:rFonts w:ascii="宋体" w:hAnsi="宋体" w:eastAsia="宋体"/>
                <w:b/>
              </w:rPr>
            </w:pPr>
            <w:r>
              <w:rPr>
                <w:rFonts w:hint="eastAsia" w:ascii="宋体" w:hAnsi="宋体" w:eastAsia="宋体" w:cs="宋体"/>
                <w:b/>
              </w:rPr>
              <w:t>号</w:t>
            </w:r>
          </w:p>
        </w:tc>
        <w:tc>
          <w:tcPr>
            <w:tcW w:w="3545" w:type="dxa"/>
            <w:gridSpan w:val="4"/>
            <w:vAlign w:val="center"/>
          </w:tcPr>
          <w:p w14:paraId="13D6F131">
            <w:pPr>
              <w:jc w:val="center"/>
              <w:rPr>
                <w:rFonts w:ascii="宋体" w:hAnsi="宋体" w:eastAsia="宋体"/>
                <w:b/>
              </w:rPr>
            </w:pPr>
            <w:r>
              <w:rPr>
                <w:rFonts w:hint="eastAsia" w:ascii="宋体" w:hAnsi="宋体" w:eastAsia="宋体" w:cs="微软雅黑"/>
                <w:b/>
              </w:rPr>
              <w:t>评分因素与权重分值</w:t>
            </w:r>
          </w:p>
        </w:tc>
        <w:tc>
          <w:tcPr>
            <w:tcW w:w="5811" w:type="dxa"/>
            <w:vMerge w:val="restart"/>
            <w:tcBorders>
              <w:bottom w:val="nil"/>
            </w:tcBorders>
            <w:vAlign w:val="center"/>
          </w:tcPr>
          <w:p w14:paraId="394FC889">
            <w:pPr>
              <w:jc w:val="center"/>
              <w:rPr>
                <w:rFonts w:ascii="宋体" w:hAnsi="宋体" w:eastAsia="宋体"/>
                <w:b/>
              </w:rPr>
            </w:pPr>
            <w:r>
              <w:rPr>
                <w:rFonts w:hint="eastAsia" w:ascii="宋体" w:hAnsi="宋体" w:eastAsia="宋体" w:cs="微软雅黑"/>
                <w:b/>
              </w:rPr>
              <w:t>评分标准</w:t>
            </w:r>
          </w:p>
        </w:tc>
      </w:tr>
      <w:tr w14:paraId="0C5D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17" w:type="dxa"/>
            <w:vMerge w:val="continue"/>
            <w:tcBorders>
              <w:top w:val="nil"/>
            </w:tcBorders>
            <w:vAlign w:val="center"/>
          </w:tcPr>
          <w:p w14:paraId="210B25EB">
            <w:pPr>
              <w:spacing w:line="240" w:lineRule="exact"/>
              <w:jc w:val="center"/>
              <w:rPr>
                <w:rFonts w:ascii="宋体" w:hAnsi="宋体" w:eastAsia="宋体" w:cs="宋体"/>
                <w:b/>
              </w:rPr>
            </w:pPr>
          </w:p>
        </w:tc>
        <w:tc>
          <w:tcPr>
            <w:tcW w:w="568" w:type="dxa"/>
            <w:vAlign w:val="center"/>
          </w:tcPr>
          <w:p w14:paraId="30FB44C5">
            <w:pPr>
              <w:jc w:val="center"/>
              <w:rPr>
                <w:rFonts w:ascii="宋体" w:hAnsi="宋体" w:eastAsia="宋体" w:cs="宋体"/>
                <w:b/>
              </w:rPr>
            </w:pPr>
            <w:r>
              <w:rPr>
                <w:rFonts w:hint="eastAsia" w:ascii="宋体" w:hAnsi="宋体" w:eastAsia="宋体" w:cs="宋体"/>
                <w:b/>
              </w:rPr>
              <w:t>评分</w:t>
            </w:r>
          </w:p>
          <w:p w14:paraId="0F5690BA">
            <w:pPr>
              <w:jc w:val="center"/>
              <w:rPr>
                <w:rFonts w:ascii="宋体" w:hAnsi="宋体" w:eastAsia="宋体"/>
                <w:b/>
              </w:rPr>
            </w:pPr>
            <w:r>
              <w:rPr>
                <w:rFonts w:hint="eastAsia" w:ascii="宋体" w:hAnsi="宋体" w:eastAsia="宋体" w:cs="微软雅黑"/>
                <w:b/>
              </w:rPr>
              <w:t>因素</w:t>
            </w:r>
          </w:p>
        </w:tc>
        <w:tc>
          <w:tcPr>
            <w:tcW w:w="992" w:type="dxa"/>
            <w:vAlign w:val="center"/>
          </w:tcPr>
          <w:p w14:paraId="32596B94">
            <w:pPr>
              <w:jc w:val="center"/>
              <w:rPr>
                <w:rFonts w:ascii="宋体" w:hAnsi="宋体" w:eastAsia="宋体"/>
                <w:b/>
              </w:rPr>
            </w:pPr>
            <w:r>
              <w:rPr>
                <w:rFonts w:hint="eastAsia" w:ascii="宋体" w:hAnsi="宋体" w:eastAsia="宋体" w:cs="微软雅黑"/>
                <w:b/>
              </w:rPr>
              <w:t>评审因素</w:t>
            </w:r>
            <w:r>
              <w:rPr>
                <w:rFonts w:hint="eastAsia" w:ascii="宋体" w:hAnsi="宋体" w:eastAsia="宋体"/>
                <w:b/>
              </w:rPr>
              <w:t xml:space="preserve">   </w:t>
            </w:r>
            <w:r>
              <w:rPr>
                <w:rFonts w:hint="eastAsia" w:ascii="宋体" w:hAnsi="宋体" w:eastAsia="宋体" w:cs="微软雅黑"/>
                <w:b/>
              </w:rPr>
              <w:t>评分值</w:t>
            </w:r>
          </w:p>
        </w:tc>
        <w:tc>
          <w:tcPr>
            <w:tcW w:w="1276" w:type="dxa"/>
            <w:vAlign w:val="center"/>
          </w:tcPr>
          <w:p w14:paraId="6528DE3B">
            <w:pPr>
              <w:jc w:val="center"/>
              <w:rPr>
                <w:rFonts w:ascii="宋体" w:hAnsi="宋体" w:eastAsia="宋体"/>
                <w:b/>
              </w:rPr>
            </w:pPr>
            <w:r>
              <w:rPr>
                <w:rFonts w:hint="eastAsia" w:ascii="宋体" w:hAnsi="宋体" w:eastAsia="宋体" w:cs="微软雅黑"/>
                <w:b/>
              </w:rPr>
              <w:t>各评审</w:t>
            </w:r>
          </w:p>
          <w:p w14:paraId="45E1C60B">
            <w:pPr>
              <w:jc w:val="center"/>
              <w:rPr>
                <w:rFonts w:ascii="宋体" w:hAnsi="宋体" w:eastAsia="宋体"/>
                <w:b/>
              </w:rPr>
            </w:pPr>
            <w:r>
              <w:rPr>
                <w:rFonts w:hint="eastAsia" w:ascii="宋体" w:hAnsi="宋体" w:eastAsia="宋体" w:cs="微软雅黑"/>
                <w:b/>
              </w:rPr>
              <w:t>因素细项</w:t>
            </w:r>
          </w:p>
        </w:tc>
        <w:tc>
          <w:tcPr>
            <w:tcW w:w="709" w:type="dxa"/>
            <w:vAlign w:val="center"/>
          </w:tcPr>
          <w:p w14:paraId="7A69175A">
            <w:pPr>
              <w:jc w:val="center"/>
              <w:rPr>
                <w:rFonts w:ascii="宋体" w:hAnsi="宋体" w:eastAsia="宋体" w:cs="微软雅黑"/>
                <w:b/>
              </w:rPr>
            </w:pPr>
            <w:r>
              <w:rPr>
                <w:rFonts w:hint="eastAsia" w:ascii="宋体" w:hAnsi="宋体" w:eastAsia="宋体" w:cs="微软雅黑"/>
                <w:b/>
              </w:rPr>
              <w:t>细项</w:t>
            </w:r>
          </w:p>
          <w:p w14:paraId="48ED9C15">
            <w:pPr>
              <w:jc w:val="center"/>
              <w:rPr>
                <w:rFonts w:ascii="宋体" w:hAnsi="宋体" w:eastAsia="宋体"/>
                <w:b/>
              </w:rPr>
            </w:pPr>
            <w:r>
              <w:rPr>
                <w:rFonts w:hint="eastAsia" w:ascii="宋体" w:hAnsi="宋体" w:eastAsia="宋体" w:cs="微软雅黑"/>
                <w:b/>
              </w:rPr>
              <w:t>分值</w:t>
            </w:r>
          </w:p>
        </w:tc>
        <w:tc>
          <w:tcPr>
            <w:tcW w:w="5811" w:type="dxa"/>
            <w:vMerge w:val="continue"/>
            <w:tcBorders>
              <w:top w:val="nil"/>
            </w:tcBorders>
            <w:vAlign w:val="center"/>
          </w:tcPr>
          <w:p w14:paraId="09E953B7">
            <w:pPr>
              <w:spacing w:line="240" w:lineRule="exact"/>
              <w:jc w:val="center"/>
              <w:rPr>
                <w:rFonts w:ascii="宋体" w:hAnsi="宋体" w:eastAsia="宋体" w:cs="宋体"/>
              </w:rPr>
            </w:pPr>
          </w:p>
        </w:tc>
      </w:tr>
      <w:tr w14:paraId="328A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417" w:type="dxa"/>
            <w:vAlign w:val="center"/>
          </w:tcPr>
          <w:p w14:paraId="7BBF3932">
            <w:pPr>
              <w:spacing w:line="300" w:lineRule="exact"/>
              <w:jc w:val="center"/>
              <w:rPr>
                <w:rFonts w:ascii="宋体" w:hAnsi="宋体" w:eastAsia="宋体" w:cs="宋体"/>
                <w:spacing w:val="-10"/>
              </w:rPr>
            </w:pPr>
            <w:r>
              <w:rPr>
                <w:rFonts w:hint="eastAsia" w:ascii="宋体" w:hAnsi="宋体" w:eastAsia="宋体" w:cs="宋体"/>
                <w:spacing w:val="-10"/>
              </w:rPr>
              <w:t>(</w:t>
            </w:r>
            <w:r>
              <w:rPr>
                <w:rFonts w:ascii="宋体" w:hAnsi="宋体" w:eastAsia="宋体" w:cs="宋体"/>
                <w:spacing w:val="-10"/>
              </w:rPr>
              <w:t>1</w:t>
            </w:r>
            <w:r>
              <w:rPr>
                <w:rFonts w:hint="eastAsia" w:ascii="宋体" w:hAnsi="宋体" w:eastAsia="宋体" w:cs="宋体"/>
                <w:spacing w:val="-10"/>
              </w:rPr>
              <w:t>)</w:t>
            </w:r>
          </w:p>
        </w:tc>
        <w:tc>
          <w:tcPr>
            <w:tcW w:w="568" w:type="dxa"/>
            <w:vAlign w:val="center"/>
          </w:tcPr>
          <w:p w14:paraId="6C4835E7">
            <w:pPr>
              <w:spacing w:line="300" w:lineRule="exact"/>
              <w:jc w:val="center"/>
              <w:rPr>
                <w:rFonts w:ascii="宋体" w:hAnsi="宋体" w:eastAsia="宋体" w:cs="宋体"/>
                <w:spacing w:val="-2"/>
              </w:rPr>
            </w:pPr>
            <w:r>
              <w:rPr>
                <w:rFonts w:hint="eastAsia" w:ascii="宋体" w:hAnsi="宋体" w:eastAsia="宋体" w:cs="宋体"/>
                <w:spacing w:val="-2"/>
              </w:rPr>
              <w:t>报</w:t>
            </w:r>
          </w:p>
          <w:p w14:paraId="05BA357A">
            <w:pPr>
              <w:spacing w:line="300" w:lineRule="exact"/>
              <w:jc w:val="center"/>
              <w:rPr>
                <w:rFonts w:ascii="宋体" w:hAnsi="宋体" w:eastAsia="宋体" w:cs="宋体"/>
                <w:spacing w:val="-3"/>
              </w:rPr>
            </w:pPr>
            <w:r>
              <w:rPr>
                <w:rFonts w:hint="eastAsia" w:ascii="宋体" w:hAnsi="宋体" w:eastAsia="宋体" w:cs="宋体"/>
                <w:spacing w:val="-2"/>
              </w:rPr>
              <w:t>价</w:t>
            </w:r>
          </w:p>
        </w:tc>
        <w:tc>
          <w:tcPr>
            <w:tcW w:w="992" w:type="dxa"/>
            <w:vAlign w:val="center"/>
          </w:tcPr>
          <w:p w14:paraId="63D40040">
            <w:pPr>
              <w:spacing w:line="300" w:lineRule="exact"/>
              <w:jc w:val="center"/>
              <w:rPr>
                <w:rFonts w:ascii="宋体" w:hAnsi="宋体" w:eastAsia="宋体" w:cs="宋体"/>
                <w:spacing w:val="2"/>
              </w:rPr>
            </w:pPr>
            <w:r>
              <w:rPr>
                <w:rFonts w:ascii="宋体" w:hAnsi="宋体" w:eastAsia="宋体" w:cs="宋体"/>
                <w:spacing w:val="-2"/>
              </w:rPr>
              <w:t>4</w:t>
            </w:r>
            <w:r>
              <w:rPr>
                <w:rFonts w:hint="eastAsia" w:ascii="宋体" w:hAnsi="宋体" w:eastAsia="宋体" w:cs="宋体"/>
                <w:spacing w:val="-2"/>
              </w:rPr>
              <w:t>0分</w:t>
            </w:r>
          </w:p>
        </w:tc>
        <w:tc>
          <w:tcPr>
            <w:tcW w:w="1276" w:type="dxa"/>
            <w:vAlign w:val="center"/>
          </w:tcPr>
          <w:p w14:paraId="4AC49DCE">
            <w:pPr>
              <w:pStyle w:val="51"/>
              <w:spacing w:line="300" w:lineRule="exact"/>
              <w:ind w:right="143"/>
              <w:jc w:val="center"/>
              <w:rPr>
                <w:spacing w:val="6"/>
                <w:sz w:val="21"/>
                <w:szCs w:val="21"/>
              </w:rPr>
            </w:pPr>
            <w:r>
              <w:rPr>
                <w:spacing w:val="-2"/>
                <w:sz w:val="21"/>
                <w:szCs w:val="21"/>
                <w:lang w:eastAsia="zh-CN"/>
              </w:rPr>
              <w:t>报价</w:t>
            </w:r>
          </w:p>
        </w:tc>
        <w:tc>
          <w:tcPr>
            <w:tcW w:w="709" w:type="dxa"/>
            <w:vAlign w:val="center"/>
          </w:tcPr>
          <w:p w14:paraId="71BF06EC">
            <w:pPr>
              <w:pStyle w:val="51"/>
              <w:spacing w:line="300" w:lineRule="exact"/>
              <w:jc w:val="center"/>
              <w:rPr>
                <w:spacing w:val="-2"/>
                <w:sz w:val="21"/>
                <w:szCs w:val="21"/>
              </w:rPr>
            </w:pPr>
            <w:r>
              <w:rPr>
                <w:spacing w:val="-2"/>
                <w:sz w:val="21"/>
                <w:szCs w:val="21"/>
              </w:rPr>
              <w:t>4</w:t>
            </w:r>
            <w:r>
              <w:rPr>
                <w:rFonts w:hint="eastAsia"/>
                <w:spacing w:val="-2"/>
                <w:sz w:val="21"/>
                <w:szCs w:val="21"/>
              </w:rPr>
              <w:t>0</w:t>
            </w:r>
          </w:p>
          <w:p w14:paraId="28CD1556">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14187909">
            <w:pPr>
              <w:rPr>
                <w:rFonts w:ascii="宋体" w:hAnsi="宋体" w:eastAsia="宋体" w:cs="宋体"/>
              </w:rPr>
            </w:pPr>
            <w:r>
              <w:rPr>
                <w:rFonts w:hint="eastAsia" w:ascii="宋体" w:hAnsi="宋体" w:eastAsia="宋体" w:cs="宋体"/>
              </w:rPr>
              <w:t>以“合理低价优先法”进行评定。</w:t>
            </w:r>
          </w:p>
          <w:p w14:paraId="29730F38">
            <w:pPr>
              <w:rPr>
                <w:rFonts w:ascii="宋体" w:hAnsi="宋体" w:eastAsia="宋体"/>
              </w:rPr>
            </w:pPr>
            <w:r>
              <w:rPr>
                <w:rFonts w:hint="eastAsia" w:ascii="宋体" w:hAnsi="宋体" w:eastAsia="宋体" w:cs="微软雅黑"/>
              </w:rPr>
              <w:t>以所有有效投标人报价的算术平均值为评审基准价（若投标人数超过5人，则减去一个最高价），投标人报价等于评审基准价的为满分。其他投标人的价格分按照以下评分标准打分：</w:t>
            </w:r>
          </w:p>
          <w:p w14:paraId="5B7C14E1">
            <w:pPr>
              <w:rPr>
                <w:rFonts w:ascii="宋体" w:hAnsi="宋体" w:eastAsia="宋体"/>
              </w:rPr>
            </w:pPr>
            <w:r>
              <w:rPr>
                <w:rFonts w:hint="eastAsia" w:ascii="宋体" w:hAnsi="宋体" w:eastAsia="宋体" w:cs="微软雅黑"/>
              </w:rPr>
              <w:t>报价得分</w:t>
            </w:r>
            <w:r>
              <w:rPr>
                <w:rFonts w:ascii="宋体" w:hAnsi="宋体" w:eastAsia="宋体"/>
              </w:rPr>
              <w:t>=40-40*</w:t>
            </w:r>
            <w:r>
              <w:rPr>
                <w:rFonts w:hint="eastAsia" w:ascii="宋体" w:hAnsi="宋体" w:eastAsia="宋体"/>
              </w:rPr>
              <w:t>|(</w:t>
            </w:r>
            <w:r>
              <w:rPr>
                <w:rFonts w:hint="eastAsia" w:ascii="宋体" w:hAnsi="宋体" w:eastAsia="宋体" w:cs="微软雅黑"/>
              </w:rPr>
              <w:t>报价-评审基准价)/</w:t>
            </w:r>
            <w:r>
              <w:rPr>
                <w:rFonts w:ascii="宋体" w:hAnsi="宋体" w:eastAsia="宋体" w:cs="微软雅黑"/>
              </w:rPr>
              <w:t>(</w:t>
            </w:r>
            <w:r>
              <w:rPr>
                <w:rFonts w:ascii="宋体" w:hAnsi="宋体" w:eastAsia="宋体"/>
              </w:rPr>
              <w:t>1-</w:t>
            </w:r>
            <w:r>
              <w:rPr>
                <w:rFonts w:hint="eastAsia" w:ascii="宋体" w:hAnsi="宋体" w:eastAsia="宋体" w:cs="微软雅黑"/>
              </w:rPr>
              <w:t>评审基准价)</w:t>
            </w:r>
            <w:r>
              <w:rPr>
                <w:rFonts w:ascii="宋体" w:hAnsi="宋体" w:eastAsia="宋体" w:cs="微软雅黑"/>
              </w:rPr>
              <w:t>|</w:t>
            </w:r>
          </w:p>
          <w:p w14:paraId="755227F9">
            <w:pPr>
              <w:rPr>
                <w:rFonts w:ascii="宋体" w:hAnsi="宋体" w:eastAsia="宋体"/>
                <w:spacing w:val="4"/>
              </w:rPr>
            </w:pPr>
            <w:r>
              <w:rPr>
                <w:rFonts w:hint="eastAsia" w:ascii="宋体" w:hAnsi="宋体" w:eastAsia="宋体" w:cs="微软雅黑"/>
              </w:rPr>
              <w:t>注：保留小数点后</w:t>
            </w:r>
            <w:r>
              <w:rPr>
                <w:rFonts w:ascii="宋体" w:hAnsi="宋体" w:eastAsia="宋体"/>
              </w:rPr>
              <w:t>2</w:t>
            </w:r>
            <w:r>
              <w:rPr>
                <w:rFonts w:hint="eastAsia" w:ascii="宋体" w:hAnsi="宋体" w:eastAsia="宋体" w:cs="微软雅黑"/>
              </w:rPr>
              <w:t>位</w:t>
            </w:r>
            <w:r>
              <w:rPr>
                <w:rFonts w:hint="eastAsia" w:ascii="宋体" w:hAnsi="宋体" w:eastAsia="宋体" w:cs="宋体"/>
              </w:rPr>
              <w:t>；</w:t>
            </w:r>
          </w:p>
        </w:tc>
      </w:tr>
      <w:tr w14:paraId="084E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417" w:type="dxa"/>
            <w:vMerge w:val="restart"/>
            <w:vAlign w:val="center"/>
          </w:tcPr>
          <w:p w14:paraId="1E9CC0EE">
            <w:pPr>
              <w:pStyle w:val="51"/>
              <w:spacing w:line="300" w:lineRule="exact"/>
              <w:jc w:val="center"/>
              <w:rPr>
                <w:sz w:val="21"/>
                <w:szCs w:val="21"/>
              </w:rPr>
            </w:pPr>
            <w:r>
              <w:rPr>
                <w:rFonts w:hint="eastAsia"/>
                <w:spacing w:val="-10"/>
                <w:sz w:val="21"/>
                <w:szCs w:val="21"/>
              </w:rPr>
              <w:t>(</w:t>
            </w:r>
            <w:r>
              <w:rPr>
                <w:spacing w:val="-10"/>
                <w:sz w:val="21"/>
                <w:szCs w:val="21"/>
              </w:rPr>
              <w:t>2</w:t>
            </w:r>
            <w:r>
              <w:rPr>
                <w:rFonts w:hint="eastAsia"/>
                <w:spacing w:val="-10"/>
                <w:sz w:val="21"/>
                <w:szCs w:val="21"/>
              </w:rPr>
              <w:t>)</w:t>
            </w:r>
          </w:p>
        </w:tc>
        <w:tc>
          <w:tcPr>
            <w:tcW w:w="568" w:type="dxa"/>
            <w:vMerge w:val="restart"/>
            <w:vAlign w:val="center"/>
          </w:tcPr>
          <w:p w14:paraId="34B25BDA">
            <w:pPr>
              <w:jc w:val="center"/>
            </w:pPr>
            <w:r>
              <w:rPr>
                <w:rFonts w:hint="eastAsia" w:ascii="宋体" w:hAnsi="宋体" w:eastAsia="宋体" w:cs="宋体"/>
              </w:rPr>
              <w:t>服</w:t>
            </w:r>
          </w:p>
          <w:p w14:paraId="29519570">
            <w:pPr>
              <w:jc w:val="center"/>
            </w:pPr>
            <w:r>
              <w:rPr>
                <w:rFonts w:hint="eastAsia" w:ascii="宋体" w:hAnsi="宋体" w:eastAsia="宋体" w:cs="宋体"/>
              </w:rPr>
              <w:t>务</w:t>
            </w:r>
          </w:p>
          <w:p w14:paraId="096F92CB">
            <w:pPr>
              <w:jc w:val="center"/>
            </w:pPr>
            <w:r>
              <w:rPr>
                <w:rFonts w:hint="eastAsia" w:ascii="宋体" w:hAnsi="宋体" w:eastAsia="宋体" w:cs="宋体"/>
              </w:rPr>
              <w:t>方</w:t>
            </w:r>
          </w:p>
          <w:p w14:paraId="68035267">
            <w:pPr>
              <w:jc w:val="center"/>
            </w:pPr>
            <w:r>
              <w:rPr>
                <w:rFonts w:hint="eastAsia" w:ascii="宋体" w:hAnsi="宋体" w:eastAsia="宋体" w:cs="宋体"/>
              </w:rPr>
              <w:t>案</w:t>
            </w:r>
          </w:p>
        </w:tc>
        <w:tc>
          <w:tcPr>
            <w:tcW w:w="992" w:type="dxa"/>
            <w:vMerge w:val="restart"/>
            <w:vAlign w:val="center"/>
          </w:tcPr>
          <w:p w14:paraId="03BBF8C0">
            <w:pPr>
              <w:pStyle w:val="51"/>
              <w:spacing w:line="300" w:lineRule="exact"/>
              <w:jc w:val="center"/>
              <w:rPr>
                <w:sz w:val="21"/>
                <w:szCs w:val="21"/>
              </w:rPr>
            </w:pPr>
            <w:r>
              <w:rPr>
                <w:spacing w:val="-2"/>
                <w:sz w:val="21"/>
                <w:szCs w:val="21"/>
              </w:rPr>
              <w:t>2</w:t>
            </w:r>
            <w:r>
              <w:rPr>
                <w:rFonts w:hint="eastAsia"/>
                <w:spacing w:val="-2"/>
                <w:sz w:val="21"/>
                <w:szCs w:val="21"/>
              </w:rPr>
              <w:t>0分</w:t>
            </w:r>
          </w:p>
        </w:tc>
        <w:tc>
          <w:tcPr>
            <w:tcW w:w="1276" w:type="dxa"/>
            <w:vAlign w:val="center"/>
          </w:tcPr>
          <w:p w14:paraId="73C9F6D8">
            <w:pPr>
              <w:pStyle w:val="51"/>
              <w:spacing w:line="300" w:lineRule="exact"/>
              <w:jc w:val="center"/>
              <w:rPr>
                <w:sz w:val="21"/>
                <w:szCs w:val="21"/>
              </w:rPr>
            </w:pPr>
            <w:r>
              <w:rPr>
                <w:rFonts w:hint="eastAsia"/>
                <w:spacing w:val="-2"/>
                <w:sz w:val="21"/>
                <w:szCs w:val="21"/>
              </w:rPr>
              <w:t>服务目标</w:t>
            </w:r>
          </w:p>
          <w:p w14:paraId="57707DFD">
            <w:pPr>
              <w:pStyle w:val="51"/>
              <w:spacing w:line="300" w:lineRule="exact"/>
              <w:jc w:val="center"/>
              <w:rPr>
                <w:sz w:val="21"/>
                <w:szCs w:val="21"/>
              </w:rPr>
            </w:pPr>
            <w:r>
              <w:rPr>
                <w:rFonts w:hint="eastAsia"/>
                <w:spacing w:val="4"/>
                <w:sz w:val="21"/>
                <w:szCs w:val="21"/>
              </w:rPr>
              <w:t>和管理制</w:t>
            </w:r>
            <w:r>
              <w:rPr>
                <w:rFonts w:hint="eastAsia"/>
                <w:sz w:val="21"/>
                <w:szCs w:val="21"/>
              </w:rPr>
              <w:t>度</w:t>
            </w:r>
          </w:p>
        </w:tc>
        <w:tc>
          <w:tcPr>
            <w:tcW w:w="709" w:type="dxa"/>
            <w:vAlign w:val="center"/>
          </w:tcPr>
          <w:p w14:paraId="006DE7F3">
            <w:pPr>
              <w:pStyle w:val="51"/>
              <w:spacing w:line="300" w:lineRule="exact"/>
              <w:jc w:val="center"/>
              <w:rPr>
                <w:spacing w:val="2"/>
                <w:sz w:val="21"/>
                <w:szCs w:val="21"/>
              </w:rPr>
            </w:pPr>
            <w:r>
              <w:rPr>
                <w:spacing w:val="2"/>
                <w:sz w:val="21"/>
                <w:szCs w:val="21"/>
              </w:rPr>
              <w:t>4</w:t>
            </w:r>
          </w:p>
          <w:p w14:paraId="1A4EEC3C">
            <w:pPr>
              <w:pStyle w:val="51"/>
              <w:spacing w:line="300" w:lineRule="exact"/>
              <w:jc w:val="center"/>
              <w:rPr>
                <w:sz w:val="21"/>
                <w:szCs w:val="21"/>
              </w:rPr>
            </w:pPr>
            <w:r>
              <w:rPr>
                <w:rFonts w:hint="eastAsia"/>
                <w:spacing w:val="2"/>
                <w:sz w:val="21"/>
                <w:szCs w:val="21"/>
              </w:rPr>
              <w:t>分</w:t>
            </w:r>
          </w:p>
        </w:tc>
        <w:tc>
          <w:tcPr>
            <w:tcW w:w="5811" w:type="dxa"/>
            <w:vAlign w:val="center"/>
          </w:tcPr>
          <w:p w14:paraId="6A3D52D5">
            <w:pPr>
              <w:pStyle w:val="51"/>
              <w:spacing w:line="300" w:lineRule="exact"/>
              <w:rPr>
                <w:sz w:val="21"/>
                <w:szCs w:val="21"/>
                <w:lang w:eastAsia="zh-CN"/>
              </w:rPr>
            </w:pPr>
            <w:r>
              <w:rPr>
                <w:rFonts w:hint="eastAsia"/>
                <w:sz w:val="21"/>
                <w:szCs w:val="21"/>
                <w:lang w:eastAsia="zh-CN"/>
              </w:rPr>
              <w:t>服务目标和管理制度，包括：管理服务理念、目标描述与指标体系、具体制度建设、支撑保障体系。</w:t>
            </w:r>
          </w:p>
          <w:p w14:paraId="5FE0CED3">
            <w:pPr>
              <w:pStyle w:val="51"/>
              <w:spacing w:line="300" w:lineRule="exact"/>
              <w:rPr>
                <w:sz w:val="21"/>
                <w:szCs w:val="21"/>
                <w:lang w:eastAsia="zh-CN"/>
              </w:rPr>
            </w:pPr>
            <w:r>
              <w:rPr>
                <w:rFonts w:hint="eastAsia" w:cs="微软雅黑" w:asciiTheme="minorEastAsia" w:hAnsiTheme="minorEastAsia" w:eastAsiaTheme="minorEastAsia"/>
                <w:lang w:eastAsia="zh-CN"/>
              </w:rPr>
              <w:t>包括上述全部内容的得</w:t>
            </w:r>
            <w:r>
              <w:rPr>
                <w:rFonts w:asciiTheme="minorEastAsia" w:hAnsiTheme="minorEastAsia" w:eastAsiaTheme="minorEastAsia"/>
                <w:lang w:eastAsia="zh-CN"/>
              </w:rPr>
              <w:t>4</w:t>
            </w:r>
            <w:r>
              <w:rPr>
                <w:rFonts w:hint="eastAsia" w:cs="微软雅黑" w:asciiTheme="minorEastAsia" w:hAnsiTheme="minorEastAsia" w:eastAsiaTheme="minorEastAsia"/>
                <w:lang w:eastAsia="zh-CN"/>
              </w:rPr>
              <w:t>分，</w:t>
            </w:r>
            <w:r>
              <w:rPr>
                <w:rFonts w:hint="eastAsia" w:asciiTheme="minorEastAsia" w:hAnsiTheme="minorEastAsia" w:eastAsiaTheme="minorEastAsia"/>
                <w:lang w:eastAsia="zh-CN"/>
              </w:rPr>
              <w:t>每缺失一项扣1分，</w:t>
            </w:r>
            <w:r>
              <w:rPr>
                <w:rFonts w:hint="eastAsia" w:cs="微软雅黑" w:asciiTheme="minorEastAsia" w:hAnsiTheme="minorEastAsia" w:eastAsiaTheme="minorEastAsia"/>
                <w:lang w:eastAsia="zh-CN"/>
              </w:rPr>
              <w:t>未提供不得分。</w:t>
            </w:r>
          </w:p>
        </w:tc>
      </w:tr>
      <w:tr w14:paraId="40A6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417" w:type="dxa"/>
            <w:vMerge w:val="continue"/>
            <w:vAlign w:val="center"/>
          </w:tcPr>
          <w:p w14:paraId="481FE842">
            <w:pPr>
              <w:spacing w:line="300" w:lineRule="exact"/>
              <w:jc w:val="center"/>
              <w:rPr>
                <w:rFonts w:ascii="宋体" w:hAnsi="宋体" w:eastAsia="宋体" w:cs="宋体"/>
              </w:rPr>
            </w:pPr>
          </w:p>
        </w:tc>
        <w:tc>
          <w:tcPr>
            <w:tcW w:w="568" w:type="dxa"/>
            <w:vMerge w:val="continue"/>
            <w:vAlign w:val="center"/>
          </w:tcPr>
          <w:p w14:paraId="0FF0D835">
            <w:pPr>
              <w:spacing w:line="300" w:lineRule="exact"/>
              <w:jc w:val="center"/>
              <w:rPr>
                <w:rFonts w:ascii="宋体" w:hAnsi="宋体" w:eastAsia="宋体" w:cs="宋体"/>
              </w:rPr>
            </w:pPr>
          </w:p>
        </w:tc>
        <w:tc>
          <w:tcPr>
            <w:tcW w:w="992" w:type="dxa"/>
            <w:vMerge w:val="continue"/>
            <w:vAlign w:val="center"/>
          </w:tcPr>
          <w:p w14:paraId="445AA153">
            <w:pPr>
              <w:spacing w:line="300" w:lineRule="exact"/>
              <w:jc w:val="center"/>
              <w:rPr>
                <w:rFonts w:ascii="宋体" w:hAnsi="宋体" w:eastAsia="宋体" w:cs="宋体"/>
              </w:rPr>
            </w:pPr>
          </w:p>
        </w:tc>
        <w:tc>
          <w:tcPr>
            <w:tcW w:w="1276" w:type="dxa"/>
            <w:vAlign w:val="center"/>
          </w:tcPr>
          <w:p w14:paraId="58F023FB">
            <w:pPr>
              <w:pStyle w:val="51"/>
              <w:spacing w:line="300" w:lineRule="exact"/>
              <w:jc w:val="center"/>
              <w:rPr>
                <w:sz w:val="21"/>
                <w:szCs w:val="21"/>
              </w:rPr>
            </w:pPr>
            <w:r>
              <w:rPr>
                <w:rFonts w:hint="eastAsia"/>
                <w:spacing w:val="-2"/>
                <w:sz w:val="21"/>
                <w:szCs w:val="21"/>
              </w:rPr>
              <w:t>配送方案</w:t>
            </w:r>
          </w:p>
        </w:tc>
        <w:tc>
          <w:tcPr>
            <w:tcW w:w="709" w:type="dxa"/>
            <w:vAlign w:val="center"/>
          </w:tcPr>
          <w:p w14:paraId="41B19F0D">
            <w:pPr>
              <w:pStyle w:val="51"/>
              <w:spacing w:line="300" w:lineRule="exact"/>
              <w:jc w:val="center"/>
              <w:rPr>
                <w:spacing w:val="2"/>
                <w:sz w:val="21"/>
                <w:szCs w:val="21"/>
              </w:rPr>
            </w:pPr>
            <w:r>
              <w:rPr>
                <w:spacing w:val="2"/>
                <w:sz w:val="21"/>
                <w:szCs w:val="21"/>
              </w:rPr>
              <w:t>6</w:t>
            </w:r>
          </w:p>
          <w:p w14:paraId="124FEF57">
            <w:pPr>
              <w:pStyle w:val="51"/>
              <w:spacing w:line="300" w:lineRule="exact"/>
              <w:jc w:val="center"/>
              <w:rPr>
                <w:sz w:val="21"/>
                <w:szCs w:val="21"/>
              </w:rPr>
            </w:pPr>
            <w:r>
              <w:rPr>
                <w:rFonts w:hint="eastAsia"/>
                <w:spacing w:val="2"/>
                <w:sz w:val="21"/>
                <w:szCs w:val="21"/>
              </w:rPr>
              <w:t>分</w:t>
            </w:r>
          </w:p>
        </w:tc>
        <w:tc>
          <w:tcPr>
            <w:tcW w:w="5811" w:type="dxa"/>
            <w:vAlign w:val="center"/>
          </w:tcPr>
          <w:p w14:paraId="78FC4BE3">
            <w:pPr>
              <w:rPr>
                <w:rFonts w:asciiTheme="minorEastAsia" w:hAnsiTheme="minorEastAsia" w:eastAsiaTheme="minorEastAsia"/>
              </w:rPr>
            </w:pPr>
            <w:r>
              <w:rPr>
                <w:rFonts w:hint="eastAsia" w:cs="微软雅黑" w:asciiTheme="minorEastAsia" w:hAnsiTheme="minorEastAsia" w:eastAsiaTheme="minorEastAsia"/>
              </w:rPr>
              <w:t>配送服务方案，包括：</w:t>
            </w:r>
          </w:p>
          <w:p w14:paraId="32E2D538">
            <w:pPr>
              <w:rPr>
                <w:rFonts w:asciiTheme="minorEastAsia" w:hAnsiTheme="minorEastAsia" w:eastAsiaTheme="minorEastAsia"/>
              </w:rPr>
            </w:pPr>
            <w:r>
              <w:rPr>
                <w:rFonts w:hint="eastAsia"/>
                <w:spacing w:val="7"/>
              </w:rPr>
              <w:t>①</w:t>
            </w:r>
            <w:r>
              <w:rPr>
                <w:rFonts w:hint="eastAsia" w:cs="微软雅黑" w:asciiTheme="minorEastAsia" w:hAnsiTheme="minorEastAsia" w:eastAsiaTheme="minorEastAsia"/>
              </w:rPr>
              <w:t>配送人员配置；</w:t>
            </w:r>
          </w:p>
          <w:p w14:paraId="56B96A64">
            <w:pPr>
              <w:rPr>
                <w:rFonts w:asciiTheme="minorEastAsia" w:hAnsiTheme="minorEastAsia" w:eastAsiaTheme="minorEastAsia"/>
              </w:rPr>
            </w:pPr>
            <w:r>
              <w:rPr>
                <w:rFonts w:hint="eastAsia" w:cs="微软雅黑" w:asciiTheme="minorEastAsia" w:hAnsiTheme="minorEastAsia" w:eastAsiaTheme="minorEastAsia"/>
              </w:rPr>
              <w:t>②配送车辆配置；</w:t>
            </w:r>
          </w:p>
          <w:p w14:paraId="57BA81C4">
            <w:pPr>
              <w:rPr>
                <w:rFonts w:asciiTheme="minorEastAsia" w:hAnsiTheme="minorEastAsia" w:eastAsiaTheme="minorEastAsia"/>
              </w:rPr>
            </w:pPr>
            <w:r>
              <w:rPr>
                <w:rFonts w:hint="eastAsia" w:cs="微软雅黑" w:asciiTheme="minorEastAsia" w:hAnsiTheme="minorEastAsia" w:eastAsiaTheme="minorEastAsia"/>
              </w:rPr>
              <w:t>③配送时效性及保障措施；</w:t>
            </w:r>
          </w:p>
          <w:p w14:paraId="2EC87A02">
            <w:pPr>
              <w:rPr>
                <w:rFonts w:asciiTheme="minorEastAsia" w:hAnsiTheme="minorEastAsia" w:eastAsiaTheme="minorEastAsia"/>
              </w:rPr>
            </w:pPr>
            <w:r>
              <w:rPr>
                <w:rFonts w:hint="eastAsia" w:cs="微软雅黑" w:asciiTheme="minorEastAsia" w:hAnsiTheme="minorEastAsia" w:eastAsiaTheme="minorEastAsia"/>
              </w:rPr>
              <w:t>④配送流程及保障措施等内容。</w:t>
            </w:r>
          </w:p>
          <w:p w14:paraId="18D200F2">
            <w:pPr>
              <w:rPr>
                <w:rFonts w:cs="微软雅黑" w:asciiTheme="minorEastAsia" w:hAnsiTheme="minorEastAsia" w:eastAsiaTheme="minorEastAsia"/>
              </w:rPr>
            </w:pPr>
            <w:r>
              <w:rPr>
                <w:rFonts w:hint="eastAsia" w:cs="微软雅黑" w:asciiTheme="minorEastAsia" w:hAnsiTheme="minorEastAsia" w:eastAsiaTheme="minorEastAsia"/>
              </w:rPr>
              <w:t>优得4</w:t>
            </w:r>
            <w:r>
              <w:rPr>
                <w:rFonts w:cs="微软雅黑" w:asciiTheme="minorEastAsia" w:hAnsiTheme="minorEastAsia" w:eastAsiaTheme="minorEastAsia"/>
              </w:rPr>
              <w:t>.1</w:t>
            </w:r>
            <w:r>
              <w:rPr>
                <w:rFonts w:hint="eastAsia" w:ascii="宋体" w:hAnsi="宋体" w:eastAsia="宋体" w:cs="宋体"/>
              </w:rPr>
              <w:t>～5</w:t>
            </w:r>
            <w:r>
              <w:rPr>
                <w:rFonts w:hint="eastAsia" w:cs="微软雅黑" w:asciiTheme="minorEastAsia" w:hAnsiTheme="minorEastAsia" w:eastAsiaTheme="minorEastAsia"/>
              </w:rPr>
              <w:t>分、良得3</w:t>
            </w:r>
            <w:r>
              <w:rPr>
                <w:rFonts w:cs="微软雅黑" w:asciiTheme="minorEastAsia" w:hAnsiTheme="minorEastAsia" w:eastAsiaTheme="minorEastAsia"/>
              </w:rPr>
              <w:t>.1</w:t>
            </w:r>
            <w:r>
              <w:rPr>
                <w:rFonts w:hint="eastAsia" w:ascii="宋体" w:hAnsi="宋体" w:eastAsia="宋体" w:cs="宋体"/>
              </w:rPr>
              <w:t>～</w:t>
            </w:r>
            <w:r>
              <w:rPr>
                <w:rFonts w:ascii="宋体" w:hAnsi="宋体" w:eastAsia="宋体" w:cs="宋体"/>
              </w:rPr>
              <w:t>4</w:t>
            </w:r>
            <w:r>
              <w:rPr>
                <w:rFonts w:hint="eastAsia" w:cs="微软雅黑" w:asciiTheme="minorEastAsia" w:hAnsiTheme="minorEastAsia" w:eastAsiaTheme="minorEastAsia"/>
              </w:rPr>
              <w:t>分、中得</w:t>
            </w:r>
            <w:r>
              <w:rPr>
                <w:rFonts w:cs="微软雅黑" w:asciiTheme="minorEastAsia" w:hAnsiTheme="minorEastAsia" w:eastAsiaTheme="minorEastAsia"/>
              </w:rPr>
              <w:t>2.1</w:t>
            </w:r>
            <w:r>
              <w:rPr>
                <w:rFonts w:hint="eastAsia" w:ascii="宋体" w:hAnsi="宋体" w:eastAsia="宋体" w:cs="宋体"/>
              </w:rPr>
              <w:t>～3</w:t>
            </w:r>
            <w:r>
              <w:rPr>
                <w:rFonts w:hint="eastAsia" w:cs="微软雅黑" w:asciiTheme="minorEastAsia" w:hAnsiTheme="minorEastAsia" w:eastAsiaTheme="minorEastAsia"/>
              </w:rPr>
              <w:t>分，差或未提供不得分，有上述全部内容至少得</w:t>
            </w:r>
            <w:r>
              <w:rPr>
                <w:rFonts w:cs="微软雅黑" w:asciiTheme="minorEastAsia" w:hAnsiTheme="minorEastAsia" w:eastAsiaTheme="minorEastAsia"/>
              </w:rPr>
              <w:t>2</w:t>
            </w:r>
            <w:r>
              <w:rPr>
                <w:rFonts w:hint="eastAsia" w:cs="微软雅黑" w:asciiTheme="minorEastAsia" w:hAnsiTheme="minorEastAsia" w:eastAsiaTheme="minorEastAsia"/>
              </w:rPr>
              <w:t>分，比选申请人承诺每天配送的加1分，其余不加分（方案中附承诺书）。</w:t>
            </w:r>
          </w:p>
          <w:p w14:paraId="171803D2">
            <w:r>
              <w:rPr>
                <w:rFonts w:cs="微软雅黑" w:asciiTheme="minorEastAsia" w:hAnsiTheme="minorEastAsia" w:eastAsiaTheme="minorEastAsia"/>
              </w:rPr>
              <w:t>注：</w:t>
            </w:r>
            <w:r>
              <w:rPr>
                <w:rFonts w:hint="eastAsia" w:cs="微软雅黑" w:asciiTheme="minorEastAsia" w:hAnsiTheme="minorEastAsia" w:eastAsiaTheme="minorEastAsia"/>
              </w:rPr>
              <w:t>比选人假定比选申请人已完全了解并知悉“比选申请人须知前附表”第2条服务范围中的所有具体位置，清楚并知道运送路线及距离。</w:t>
            </w:r>
          </w:p>
        </w:tc>
      </w:tr>
      <w:tr w14:paraId="3580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17" w:type="dxa"/>
            <w:vMerge w:val="continue"/>
            <w:vAlign w:val="center"/>
          </w:tcPr>
          <w:p w14:paraId="42F60138">
            <w:pPr>
              <w:spacing w:line="300" w:lineRule="exact"/>
              <w:jc w:val="center"/>
              <w:rPr>
                <w:rFonts w:ascii="宋体" w:hAnsi="宋体" w:eastAsia="宋体" w:cs="宋体"/>
              </w:rPr>
            </w:pPr>
          </w:p>
        </w:tc>
        <w:tc>
          <w:tcPr>
            <w:tcW w:w="568" w:type="dxa"/>
            <w:vMerge w:val="continue"/>
            <w:vAlign w:val="center"/>
          </w:tcPr>
          <w:p w14:paraId="3594F665">
            <w:pPr>
              <w:spacing w:line="300" w:lineRule="exact"/>
              <w:jc w:val="center"/>
              <w:rPr>
                <w:rFonts w:ascii="宋体" w:hAnsi="宋体" w:eastAsia="宋体" w:cs="宋体"/>
              </w:rPr>
            </w:pPr>
          </w:p>
        </w:tc>
        <w:tc>
          <w:tcPr>
            <w:tcW w:w="992" w:type="dxa"/>
            <w:vMerge w:val="continue"/>
            <w:vAlign w:val="center"/>
          </w:tcPr>
          <w:p w14:paraId="490D3A59">
            <w:pPr>
              <w:spacing w:line="300" w:lineRule="exact"/>
              <w:jc w:val="center"/>
              <w:rPr>
                <w:rFonts w:ascii="宋体" w:hAnsi="宋体" w:eastAsia="宋体" w:cs="宋体"/>
              </w:rPr>
            </w:pPr>
          </w:p>
        </w:tc>
        <w:tc>
          <w:tcPr>
            <w:tcW w:w="1276" w:type="dxa"/>
            <w:vAlign w:val="center"/>
          </w:tcPr>
          <w:p w14:paraId="23C66F1B">
            <w:pPr>
              <w:pStyle w:val="51"/>
              <w:spacing w:line="300" w:lineRule="exact"/>
              <w:ind w:right="143"/>
              <w:jc w:val="center"/>
              <w:rPr>
                <w:sz w:val="21"/>
                <w:szCs w:val="21"/>
              </w:rPr>
            </w:pPr>
            <w:r>
              <w:rPr>
                <w:rFonts w:hint="eastAsia"/>
                <w:spacing w:val="-2"/>
                <w:sz w:val="21"/>
                <w:szCs w:val="21"/>
                <w:lang w:eastAsia="zh-CN"/>
              </w:rPr>
              <w:t xml:space="preserve">  </w:t>
            </w:r>
            <w:r>
              <w:rPr>
                <w:rFonts w:hint="eastAsia"/>
                <w:spacing w:val="-2"/>
                <w:sz w:val="21"/>
                <w:szCs w:val="21"/>
              </w:rPr>
              <w:t>售后服务</w:t>
            </w:r>
            <w:r>
              <w:rPr>
                <w:rFonts w:hint="eastAsia"/>
                <w:spacing w:val="-3"/>
                <w:sz w:val="21"/>
                <w:szCs w:val="21"/>
              </w:rPr>
              <w:t>方案</w:t>
            </w:r>
          </w:p>
        </w:tc>
        <w:tc>
          <w:tcPr>
            <w:tcW w:w="709" w:type="dxa"/>
            <w:vAlign w:val="center"/>
          </w:tcPr>
          <w:p w14:paraId="38B26A7B">
            <w:pPr>
              <w:pStyle w:val="51"/>
              <w:spacing w:line="300" w:lineRule="exact"/>
              <w:jc w:val="center"/>
              <w:rPr>
                <w:spacing w:val="2"/>
                <w:sz w:val="21"/>
                <w:szCs w:val="21"/>
              </w:rPr>
            </w:pPr>
            <w:r>
              <w:rPr>
                <w:spacing w:val="2"/>
                <w:sz w:val="21"/>
                <w:szCs w:val="21"/>
              </w:rPr>
              <w:t>6</w:t>
            </w:r>
          </w:p>
          <w:p w14:paraId="326A6729">
            <w:pPr>
              <w:pStyle w:val="51"/>
              <w:spacing w:line="300" w:lineRule="exact"/>
              <w:jc w:val="center"/>
              <w:rPr>
                <w:sz w:val="21"/>
                <w:szCs w:val="21"/>
              </w:rPr>
            </w:pPr>
            <w:r>
              <w:rPr>
                <w:rFonts w:hint="eastAsia"/>
                <w:spacing w:val="2"/>
                <w:sz w:val="21"/>
                <w:szCs w:val="21"/>
              </w:rPr>
              <w:t>分</w:t>
            </w:r>
          </w:p>
        </w:tc>
        <w:tc>
          <w:tcPr>
            <w:tcW w:w="5811" w:type="dxa"/>
            <w:vAlign w:val="center"/>
          </w:tcPr>
          <w:p w14:paraId="2E86DFCF">
            <w:pPr>
              <w:pStyle w:val="51"/>
              <w:spacing w:line="300" w:lineRule="exact"/>
              <w:rPr>
                <w:sz w:val="21"/>
                <w:szCs w:val="21"/>
                <w:lang w:eastAsia="zh-CN"/>
              </w:rPr>
            </w:pPr>
            <w:r>
              <w:rPr>
                <w:rFonts w:hint="eastAsia"/>
                <w:sz w:val="21"/>
                <w:szCs w:val="21"/>
                <w:lang w:eastAsia="zh-CN"/>
              </w:rPr>
              <w:t>售后服务方案，包括：</w:t>
            </w:r>
          </w:p>
          <w:p w14:paraId="6F8A4C20">
            <w:pPr>
              <w:pStyle w:val="51"/>
              <w:spacing w:line="300" w:lineRule="exact"/>
              <w:ind w:left="74"/>
              <w:rPr>
                <w:sz w:val="21"/>
                <w:szCs w:val="21"/>
                <w:lang w:eastAsia="zh-CN"/>
              </w:rPr>
            </w:pPr>
            <w:r>
              <w:rPr>
                <w:rFonts w:hint="eastAsia"/>
                <w:spacing w:val="7"/>
                <w:sz w:val="21"/>
                <w:szCs w:val="21"/>
                <w:lang w:eastAsia="zh-CN"/>
              </w:rPr>
              <w:t>①售后服务人员构成清单；</w:t>
            </w:r>
          </w:p>
          <w:p w14:paraId="08598DEC">
            <w:pPr>
              <w:pStyle w:val="51"/>
              <w:spacing w:line="300" w:lineRule="exact"/>
              <w:ind w:left="74"/>
              <w:rPr>
                <w:sz w:val="21"/>
                <w:szCs w:val="21"/>
                <w:lang w:eastAsia="zh-CN"/>
              </w:rPr>
            </w:pPr>
            <w:r>
              <w:rPr>
                <w:rFonts w:hint="eastAsia"/>
                <w:spacing w:val="10"/>
                <w:sz w:val="21"/>
                <w:szCs w:val="21"/>
                <w:lang w:eastAsia="zh-CN"/>
              </w:rPr>
              <w:t>②团队分工及职责；</w:t>
            </w:r>
          </w:p>
          <w:p w14:paraId="2375CD0D">
            <w:pPr>
              <w:pStyle w:val="51"/>
              <w:spacing w:line="300" w:lineRule="exact"/>
              <w:ind w:left="95"/>
              <w:rPr>
                <w:sz w:val="21"/>
                <w:szCs w:val="21"/>
                <w:lang w:eastAsia="zh-CN"/>
              </w:rPr>
            </w:pPr>
            <w:r>
              <w:rPr>
                <w:rFonts w:hint="eastAsia"/>
                <w:spacing w:val="8"/>
                <w:sz w:val="21"/>
                <w:szCs w:val="21"/>
                <w:lang w:eastAsia="zh-CN"/>
              </w:rPr>
              <w:t>③售后服务流程及措施；</w:t>
            </w:r>
          </w:p>
          <w:p w14:paraId="5E1E72B9">
            <w:pPr>
              <w:pStyle w:val="51"/>
              <w:spacing w:line="300" w:lineRule="exact"/>
              <w:ind w:left="74"/>
              <w:rPr>
                <w:sz w:val="21"/>
                <w:szCs w:val="21"/>
                <w:lang w:eastAsia="zh-CN"/>
              </w:rPr>
            </w:pPr>
            <w:r>
              <w:rPr>
                <w:rFonts w:hint="eastAsia"/>
                <w:spacing w:val="10"/>
                <w:sz w:val="21"/>
                <w:szCs w:val="21"/>
                <w:lang w:eastAsia="zh-CN"/>
              </w:rPr>
              <w:t>④退换货响应时间；</w:t>
            </w:r>
          </w:p>
          <w:p w14:paraId="0C99684D">
            <w:pPr>
              <w:pStyle w:val="51"/>
              <w:spacing w:line="300" w:lineRule="exact"/>
              <w:ind w:left="74"/>
              <w:rPr>
                <w:sz w:val="21"/>
                <w:szCs w:val="21"/>
                <w:lang w:eastAsia="zh-CN"/>
              </w:rPr>
            </w:pPr>
            <w:r>
              <w:rPr>
                <w:rFonts w:hint="eastAsia"/>
                <w:sz w:val="21"/>
                <w:szCs w:val="21"/>
                <w:lang w:eastAsia="zh-CN"/>
              </w:rPr>
              <w:t>⑤及时退换保障措施等内容。</w:t>
            </w:r>
          </w:p>
          <w:p w14:paraId="1A4639CD">
            <w:pPr>
              <w:pStyle w:val="51"/>
              <w:spacing w:line="300" w:lineRule="exact"/>
              <w:ind w:left="74" w:right="229"/>
              <w:rPr>
                <w:sz w:val="21"/>
                <w:szCs w:val="21"/>
                <w:lang w:eastAsia="zh-CN"/>
              </w:rPr>
            </w:pPr>
            <w:r>
              <w:rPr>
                <w:rFonts w:hint="eastAsia" w:cs="微软雅黑" w:asciiTheme="minorEastAsia" w:hAnsiTheme="minorEastAsia" w:eastAsiaTheme="minorEastAsia"/>
                <w:lang w:eastAsia="zh-CN"/>
              </w:rPr>
              <w:t>优得4</w:t>
            </w:r>
            <w:r>
              <w:rPr>
                <w:rFonts w:cs="微软雅黑" w:asciiTheme="minorEastAsia" w:hAnsiTheme="minorEastAsia" w:eastAsiaTheme="minorEastAsia"/>
                <w:lang w:eastAsia="zh-CN"/>
              </w:rPr>
              <w:t>.1</w:t>
            </w:r>
            <w:r>
              <w:rPr>
                <w:rFonts w:hint="eastAsia"/>
                <w:sz w:val="21"/>
                <w:szCs w:val="21"/>
                <w:lang w:eastAsia="zh-CN"/>
              </w:rPr>
              <w:t>～</w:t>
            </w:r>
            <w:r>
              <w:rPr>
                <w:rFonts w:hint="eastAsia"/>
                <w:lang w:eastAsia="zh-CN"/>
              </w:rPr>
              <w:t>5</w:t>
            </w:r>
            <w:r>
              <w:rPr>
                <w:rFonts w:hint="eastAsia" w:cs="微软雅黑" w:asciiTheme="minorEastAsia" w:hAnsiTheme="minorEastAsia" w:eastAsiaTheme="minorEastAsia"/>
                <w:lang w:eastAsia="zh-CN"/>
              </w:rPr>
              <w:t>分、良得3</w:t>
            </w:r>
            <w:r>
              <w:rPr>
                <w:rFonts w:cs="微软雅黑" w:asciiTheme="minorEastAsia" w:hAnsiTheme="minorEastAsia" w:eastAsiaTheme="minorEastAsia"/>
                <w:lang w:eastAsia="zh-CN"/>
              </w:rPr>
              <w:t>.1</w:t>
            </w:r>
            <w:r>
              <w:rPr>
                <w:rFonts w:hint="eastAsia"/>
                <w:sz w:val="21"/>
                <w:szCs w:val="21"/>
                <w:lang w:eastAsia="zh-CN"/>
              </w:rPr>
              <w:t>～</w:t>
            </w:r>
            <w:r>
              <w:rPr>
                <w:lang w:eastAsia="zh-CN"/>
              </w:rPr>
              <w:t>4</w:t>
            </w:r>
            <w:r>
              <w:rPr>
                <w:rFonts w:hint="eastAsia" w:cs="微软雅黑" w:asciiTheme="minorEastAsia" w:hAnsiTheme="minorEastAsia" w:eastAsiaTheme="minorEastAsia"/>
                <w:lang w:eastAsia="zh-CN"/>
              </w:rPr>
              <w:t>分、中得</w:t>
            </w:r>
            <w:r>
              <w:rPr>
                <w:rFonts w:cs="微软雅黑" w:asciiTheme="minorEastAsia" w:hAnsiTheme="minorEastAsia" w:eastAsiaTheme="minorEastAsia"/>
                <w:lang w:eastAsia="zh-CN"/>
              </w:rPr>
              <w:t>2.1</w:t>
            </w:r>
            <w:r>
              <w:rPr>
                <w:rFonts w:hint="eastAsia"/>
                <w:sz w:val="21"/>
                <w:szCs w:val="21"/>
                <w:lang w:eastAsia="zh-CN"/>
              </w:rPr>
              <w:t>～</w:t>
            </w:r>
            <w:r>
              <w:rPr>
                <w:rFonts w:hint="eastAsia"/>
                <w:lang w:eastAsia="zh-CN"/>
              </w:rPr>
              <w:t>3</w:t>
            </w:r>
            <w:r>
              <w:rPr>
                <w:rFonts w:hint="eastAsia" w:cs="微软雅黑" w:asciiTheme="minorEastAsia" w:hAnsiTheme="minorEastAsia" w:eastAsiaTheme="minorEastAsia"/>
                <w:lang w:eastAsia="zh-CN"/>
              </w:rPr>
              <w:t>分，差或未提供不得分，</w:t>
            </w:r>
            <w:r>
              <w:rPr>
                <w:rFonts w:hint="eastAsia"/>
                <w:sz w:val="21"/>
                <w:szCs w:val="21"/>
                <w:lang w:eastAsia="zh-CN"/>
              </w:rPr>
              <w:t>有上述全部内容至少得2分，承诺7</w:t>
            </w:r>
            <w:r>
              <w:rPr>
                <w:sz w:val="21"/>
                <w:szCs w:val="21"/>
                <w:lang w:eastAsia="zh-CN"/>
              </w:rPr>
              <w:t>*</w:t>
            </w:r>
            <w:r>
              <w:rPr>
                <w:rFonts w:hint="eastAsia"/>
                <w:sz w:val="21"/>
                <w:szCs w:val="21"/>
                <w:lang w:eastAsia="zh-CN"/>
              </w:rPr>
              <w:t>2</w:t>
            </w:r>
            <w:r>
              <w:rPr>
                <w:sz w:val="21"/>
                <w:szCs w:val="21"/>
                <w:lang w:eastAsia="zh-CN"/>
              </w:rPr>
              <w:t>4小时响应机制且</w:t>
            </w:r>
            <w:r>
              <w:rPr>
                <w:rFonts w:hint="eastAsia"/>
                <w:sz w:val="21"/>
                <w:szCs w:val="21"/>
                <w:lang w:eastAsia="zh-CN"/>
              </w:rPr>
              <w:t>无条件退换货的加1分，其余不加分</w:t>
            </w:r>
            <w:r>
              <w:rPr>
                <w:rFonts w:hint="eastAsia" w:cs="微软雅黑" w:asciiTheme="minorEastAsia" w:hAnsiTheme="minorEastAsia" w:eastAsiaTheme="minorEastAsia"/>
                <w:lang w:eastAsia="zh-CN"/>
              </w:rPr>
              <w:t>（方案中附承诺书）</w:t>
            </w:r>
            <w:r>
              <w:rPr>
                <w:rFonts w:hint="eastAsia"/>
                <w:sz w:val="21"/>
                <w:szCs w:val="21"/>
                <w:lang w:eastAsia="zh-CN"/>
              </w:rPr>
              <w:t>。</w:t>
            </w:r>
          </w:p>
        </w:tc>
      </w:tr>
      <w:tr w14:paraId="1E7F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417" w:type="dxa"/>
            <w:vMerge w:val="continue"/>
            <w:vAlign w:val="center"/>
          </w:tcPr>
          <w:p w14:paraId="59922C8D">
            <w:pPr>
              <w:spacing w:line="300" w:lineRule="exact"/>
              <w:jc w:val="center"/>
              <w:rPr>
                <w:rFonts w:ascii="宋体" w:hAnsi="宋体" w:eastAsia="宋体" w:cs="宋体"/>
              </w:rPr>
            </w:pPr>
          </w:p>
        </w:tc>
        <w:tc>
          <w:tcPr>
            <w:tcW w:w="568" w:type="dxa"/>
            <w:vMerge w:val="continue"/>
            <w:vAlign w:val="center"/>
          </w:tcPr>
          <w:p w14:paraId="09DEBEF5">
            <w:pPr>
              <w:spacing w:line="300" w:lineRule="exact"/>
              <w:jc w:val="center"/>
              <w:rPr>
                <w:rFonts w:ascii="宋体" w:hAnsi="宋体" w:eastAsia="宋体" w:cs="宋体"/>
              </w:rPr>
            </w:pPr>
          </w:p>
        </w:tc>
        <w:tc>
          <w:tcPr>
            <w:tcW w:w="992" w:type="dxa"/>
            <w:vMerge w:val="continue"/>
            <w:vAlign w:val="center"/>
          </w:tcPr>
          <w:p w14:paraId="6565E3D9">
            <w:pPr>
              <w:spacing w:line="300" w:lineRule="exact"/>
              <w:jc w:val="center"/>
              <w:rPr>
                <w:rFonts w:ascii="宋体" w:hAnsi="宋体" w:eastAsia="宋体" w:cs="宋体"/>
              </w:rPr>
            </w:pPr>
          </w:p>
        </w:tc>
        <w:tc>
          <w:tcPr>
            <w:tcW w:w="1276" w:type="dxa"/>
            <w:vAlign w:val="center"/>
          </w:tcPr>
          <w:p w14:paraId="0B7A59C1">
            <w:pPr>
              <w:jc w:val="center"/>
              <w:rPr>
                <w:rFonts w:asciiTheme="minorEastAsia" w:hAnsiTheme="minorEastAsia" w:eastAsiaTheme="minorEastAsia"/>
              </w:rPr>
            </w:pPr>
            <w:r>
              <w:rPr>
                <w:rFonts w:hint="eastAsia" w:cs="宋体" w:asciiTheme="minorEastAsia" w:hAnsiTheme="minorEastAsia" w:eastAsiaTheme="minorEastAsia"/>
              </w:rPr>
              <w:t>应急</w:t>
            </w:r>
          </w:p>
          <w:p w14:paraId="150CDFEF">
            <w:pPr>
              <w:jc w:val="center"/>
              <w:rPr>
                <w:rFonts w:asciiTheme="minorEastAsia" w:hAnsiTheme="minorEastAsia" w:eastAsiaTheme="minorEastAsia"/>
              </w:rPr>
            </w:pPr>
            <w:r>
              <w:rPr>
                <w:rFonts w:hint="eastAsia" w:cs="微软雅黑" w:asciiTheme="minorEastAsia" w:hAnsiTheme="minorEastAsia" w:eastAsiaTheme="minorEastAsia"/>
              </w:rPr>
              <w:t>预案</w:t>
            </w:r>
          </w:p>
        </w:tc>
        <w:tc>
          <w:tcPr>
            <w:tcW w:w="709" w:type="dxa"/>
            <w:vAlign w:val="center"/>
          </w:tcPr>
          <w:p w14:paraId="5CDD0392">
            <w:pPr>
              <w:pStyle w:val="51"/>
              <w:spacing w:line="300" w:lineRule="exact"/>
              <w:jc w:val="center"/>
              <w:rPr>
                <w:spacing w:val="2"/>
                <w:sz w:val="21"/>
                <w:szCs w:val="21"/>
              </w:rPr>
            </w:pPr>
            <w:r>
              <w:rPr>
                <w:spacing w:val="2"/>
                <w:sz w:val="21"/>
                <w:szCs w:val="21"/>
              </w:rPr>
              <w:t>4</w:t>
            </w:r>
          </w:p>
          <w:p w14:paraId="2C986CA3">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5A22A3CE">
            <w:pPr>
              <w:rPr>
                <w:rFonts w:asciiTheme="minorEastAsia" w:hAnsiTheme="minorEastAsia" w:eastAsiaTheme="minorEastAsia"/>
              </w:rPr>
            </w:pPr>
            <w:r>
              <w:rPr>
                <w:rFonts w:hint="eastAsia" w:cs="微软雅黑" w:asciiTheme="minorEastAsia" w:hAnsiTheme="minorEastAsia" w:eastAsiaTheme="minorEastAsia"/>
              </w:rPr>
              <w:t>应急预案，包括：</w:t>
            </w:r>
          </w:p>
          <w:p w14:paraId="5ADDF681">
            <w:pPr>
              <w:rPr>
                <w:rFonts w:asciiTheme="minorEastAsia" w:hAnsiTheme="minorEastAsia" w:eastAsiaTheme="minorEastAsia"/>
              </w:rPr>
            </w:pPr>
            <w:r>
              <w:rPr>
                <w:rFonts w:hint="eastAsia" w:cs="微软雅黑" w:asciiTheme="minorEastAsia" w:hAnsiTheme="minorEastAsia" w:eastAsiaTheme="minorEastAsia"/>
              </w:rPr>
              <w:t>①特殊时段食堂临时需求应急措施；</w:t>
            </w:r>
          </w:p>
          <w:p w14:paraId="07742F28">
            <w:pPr>
              <w:rPr>
                <w:rFonts w:asciiTheme="minorEastAsia" w:hAnsiTheme="minorEastAsia" w:eastAsiaTheme="minorEastAsia"/>
              </w:rPr>
            </w:pPr>
            <w:r>
              <w:rPr>
                <w:rFonts w:hint="eastAsia" w:cs="微软雅黑" w:asciiTheme="minorEastAsia" w:hAnsiTheme="minorEastAsia" w:eastAsiaTheme="minorEastAsia"/>
              </w:rPr>
              <w:t>②发生影响正常配送的突发情况的应急配送方案；</w:t>
            </w:r>
          </w:p>
          <w:p w14:paraId="44283563">
            <w:pPr>
              <w:rPr>
                <w:rFonts w:asciiTheme="minorEastAsia" w:hAnsiTheme="minorEastAsia" w:eastAsiaTheme="minorEastAsia"/>
              </w:rPr>
            </w:pPr>
            <w:r>
              <w:rPr>
                <w:rFonts w:hint="eastAsia" w:cs="微软雅黑" w:asciiTheme="minorEastAsia" w:hAnsiTheme="minorEastAsia" w:eastAsiaTheme="minorEastAsia"/>
              </w:rPr>
              <w:t>③因食材质量或卫生安全引发食物中毒事故应急处理预案；</w:t>
            </w:r>
          </w:p>
          <w:p w14:paraId="373A22AD">
            <w:pPr>
              <w:rPr>
                <w:rFonts w:asciiTheme="minorEastAsia" w:hAnsiTheme="minorEastAsia" w:eastAsiaTheme="minorEastAsia"/>
              </w:rPr>
            </w:pPr>
            <w:r>
              <w:rPr>
                <w:rFonts w:hint="eastAsia" w:cs="微软雅黑" w:asciiTheme="minorEastAsia" w:hAnsiTheme="minorEastAsia" w:eastAsiaTheme="minorEastAsia"/>
              </w:rPr>
              <w:t>④现场解决小组人员及职责；</w:t>
            </w:r>
          </w:p>
          <w:p w14:paraId="69444599">
            <w:pPr>
              <w:rPr>
                <w:rFonts w:asciiTheme="minorEastAsia" w:hAnsiTheme="minorEastAsia" w:eastAsiaTheme="minorEastAsia"/>
              </w:rPr>
            </w:pPr>
            <w:r>
              <w:rPr>
                <w:rFonts w:hint="eastAsia" w:cs="微软雅黑" w:asciiTheme="minorEastAsia" w:hAnsiTheme="minorEastAsia" w:eastAsiaTheme="minorEastAsia"/>
              </w:rPr>
              <w:t>包括上述全部内容得</w:t>
            </w:r>
            <w:r>
              <w:rPr>
                <w:rFonts w:asciiTheme="minorEastAsia" w:hAnsiTheme="minorEastAsia" w:eastAsiaTheme="minorEastAsia"/>
              </w:rPr>
              <w:t>4</w:t>
            </w:r>
            <w:r>
              <w:rPr>
                <w:rFonts w:hint="eastAsia" w:cs="微软雅黑" w:asciiTheme="minorEastAsia" w:hAnsiTheme="minorEastAsia" w:eastAsiaTheme="minorEastAsia"/>
              </w:rPr>
              <w:t>分，</w:t>
            </w:r>
            <w:r>
              <w:rPr>
                <w:rFonts w:hint="eastAsia" w:asciiTheme="minorEastAsia" w:hAnsiTheme="minorEastAsia" w:eastAsiaTheme="minorEastAsia"/>
              </w:rPr>
              <w:t>每缺失一项扣1分，</w:t>
            </w:r>
            <w:r>
              <w:rPr>
                <w:rFonts w:hint="eastAsia" w:cs="微软雅黑" w:asciiTheme="minorEastAsia" w:hAnsiTheme="minorEastAsia" w:eastAsiaTheme="minorEastAsia"/>
              </w:rPr>
              <w:t>未提供不得分。</w:t>
            </w:r>
          </w:p>
        </w:tc>
      </w:tr>
      <w:tr w14:paraId="7C9C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trPr>
        <w:tc>
          <w:tcPr>
            <w:tcW w:w="417" w:type="dxa"/>
            <w:vMerge w:val="restart"/>
            <w:vAlign w:val="center"/>
          </w:tcPr>
          <w:p w14:paraId="5E53F23C">
            <w:pPr>
              <w:spacing w:line="300" w:lineRule="exact"/>
              <w:jc w:val="center"/>
              <w:rPr>
                <w:rFonts w:ascii="宋体" w:hAnsi="宋体" w:eastAsia="宋体" w:cs="宋体"/>
              </w:rPr>
            </w:pPr>
            <w:r>
              <w:rPr>
                <w:rFonts w:hint="eastAsia" w:ascii="宋体" w:hAnsi="宋体" w:eastAsia="宋体" w:cs="宋体"/>
                <w:spacing w:val="-10"/>
              </w:rPr>
              <w:t>(</w:t>
            </w:r>
            <w:r>
              <w:rPr>
                <w:rFonts w:ascii="宋体" w:hAnsi="宋体" w:eastAsia="宋体" w:cs="宋体"/>
                <w:spacing w:val="-10"/>
              </w:rPr>
              <w:t>3</w:t>
            </w:r>
            <w:r>
              <w:rPr>
                <w:rFonts w:hint="eastAsia" w:ascii="宋体" w:hAnsi="宋体" w:eastAsia="宋体" w:cs="宋体"/>
                <w:spacing w:val="-10"/>
              </w:rPr>
              <w:t>)</w:t>
            </w:r>
          </w:p>
        </w:tc>
        <w:tc>
          <w:tcPr>
            <w:tcW w:w="568" w:type="dxa"/>
            <w:vMerge w:val="restart"/>
            <w:vAlign w:val="center"/>
          </w:tcPr>
          <w:p w14:paraId="04D2597C">
            <w:pPr>
              <w:spacing w:line="300" w:lineRule="exact"/>
              <w:jc w:val="center"/>
              <w:rPr>
                <w:rFonts w:ascii="宋体" w:hAnsi="宋体" w:eastAsia="宋体" w:cs="宋体"/>
                <w:spacing w:val="-3"/>
              </w:rPr>
            </w:pPr>
            <w:r>
              <w:rPr>
                <w:rFonts w:hint="eastAsia" w:ascii="宋体" w:hAnsi="宋体" w:eastAsia="宋体" w:cs="宋体"/>
                <w:spacing w:val="-3"/>
              </w:rPr>
              <w:t>履</w:t>
            </w:r>
          </w:p>
          <w:p w14:paraId="65BAB3D2">
            <w:pPr>
              <w:spacing w:line="300" w:lineRule="exact"/>
              <w:jc w:val="center"/>
              <w:rPr>
                <w:rFonts w:ascii="宋体" w:hAnsi="宋体" w:eastAsia="宋体" w:cs="宋体"/>
                <w:spacing w:val="-3"/>
              </w:rPr>
            </w:pPr>
            <w:r>
              <w:rPr>
                <w:rFonts w:hint="eastAsia" w:ascii="宋体" w:hAnsi="宋体" w:eastAsia="宋体" w:cs="宋体"/>
                <w:spacing w:val="-3"/>
              </w:rPr>
              <w:t>约</w:t>
            </w:r>
          </w:p>
          <w:p w14:paraId="1830BEAD">
            <w:pPr>
              <w:spacing w:line="300" w:lineRule="exact"/>
              <w:jc w:val="center"/>
              <w:rPr>
                <w:rFonts w:ascii="宋体" w:hAnsi="宋体" w:eastAsia="宋体" w:cs="宋体"/>
                <w:spacing w:val="-3"/>
              </w:rPr>
            </w:pPr>
            <w:r>
              <w:rPr>
                <w:rFonts w:hint="eastAsia" w:ascii="宋体" w:hAnsi="宋体" w:eastAsia="宋体" w:cs="宋体"/>
                <w:spacing w:val="-3"/>
              </w:rPr>
              <w:t>能</w:t>
            </w:r>
          </w:p>
          <w:p w14:paraId="11782224">
            <w:pPr>
              <w:spacing w:line="300" w:lineRule="exact"/>
              <w:jc w:val="center"/>
              <w:rPr>
                <w:rFonts w:ascii="宋体" w:hAnsi="宋体" w:eastAsia="宋体" w:cs="宋体"/>
              </w:rPr>
            </w:pPr>
            <w:r>
              <w:rPr>
                <w:rFonts w:hint="eastAsia" w:ascii="宋体" w:hAnsi="宋体" w:eastAsia="宋体" w:cs="宋体"/>
                <w:spacing w:val="-3"/>
              </w:rPr>
              <w:t>力</w:t>
            </w:r>
          </w:p>
        </w:tc>
        <w:tc>
          <w:tcPr>
            <w:tcW w:w="992" w:type="dxa"/>
            <w:vMerge w:val="restart"/>
            <w:vAlign w:val="center"/>
          </w:tcPr>
          <w:p w14:paraId="2C3DBD11">
            <w:pPr>
              <w:spacing w:line="300" w:lineRule="exact"/>
              <w:jc w:val="center"/>
              <w:rPr>
                <w:rFonts w:ascii="宋体" w:hAnsi="宋体" w:eastAsia="宋体" w:cs="宋体"/>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4FCE49A4">
            <w:pPr>
              <w:jc w:val="center"/>
              <w:rPr>
                <w:rFonts w:asciiTheme="minorEastAsia" w:hAnsiTheme="minorEastAsia" w:eastAsiaTheme="minorEastAsia"/>
              </w:rPr>
            </w:pPr>
            <w:r>
              <w:rPr>
                <w:rFonts w:hint="eastAsia" w:cs="宋体" w:asciiTheme="minorEastAsia" w:hAnsiTheme="minorEastAsia" w:eastAsiaTheme="minorEastAsia"/>
              </w:rPr>
              <w:t>类似</w:t>
            </w:r>
          </w:p>
          <w:p w14:paraId="28E66E50">
            <w:pPr>
              <w:jc w:val="center"/>
              <w:rPr>
                <w:rFonts w:asciiTheme="minorEastAsia" w:hAnsiTheme="minorEastAsia" w:eastAsiaTheme="minorEastAsia"/>
              </w:rPr>
            </w:pPr>
            <w:r>
              <w:rPr>
                <w:rFonts w:hint="eastAsia" w:cs="微软雅黑" w:asciiTheme="minorEastAsia" w:hAnsiTheme="minorEastAsia" w:eastAsiaTheme="minorEastAsia"/>
              </w:rPr>
              <w:t>业绩</w:t>
            </w:r>
          </w:p>
        </w:tc>
        <w:tc>
          <w:tcPr>
            <w:tcW w:w="709" w:type="dxa"/>
            <w:vAlign w:val="center"/>
          </w:tcPr>
          <w:p w14:paraId="7C785BD4">
            <w:pPr>
              <w:pStyle w:val="51"/>
              <w:spacing w:line="300" w:lineRule="exact"/>
              <w:jc w:val="center"/>
              <w:rPr>
                <w:spacing w:val="2"/>
                <w:sz w:val="21"/>
                <w:szCs w:val="21"/>
                <w:lang w:eastAsia="zh-CN"/>
              </w:rPr>
            </w:pPr>
            <w:r>
              <w:rPr>
                <w:rFonts w:hint="eastAsia"/>
                <w:spacing w:val="2"/>
                <w:sz w:val="21"/>
                <w:szCs w:val="21"/>
                <w:lang w:eastAsia="zh-CN"/>
              </w:rPr>
              <w:t>8</w:t>
            </w:r>
          </w:p>
          <w:p w14:paraId="343D60E4">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48D8146E">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满足资格审查最低业绩要求的得</w:t>
            </w:r>
            <w:r>
              <w:rPr>
                <w:rFonts w:cs="微软雅黑" w:asciiTheme="minorEastAsia" w:hAnsiTheme="minorEastAsia" w:eastAsiaTheme="minorEastAsia"/>
                <w:sz w:val="21"/>
                <w:szCs w:val="21"/>
                <w:lang w:eastAsia="zh-CN"/>
              </w:rPr>
              <w:t>5</w:t>
            </w:r>
            <w:r>
              <w:rPr>
                <w:rFonts w:hint="eastAsia" w:cs="微软雅黑" w:asciiTheme="minorEastAsia" w:hAnsiTheme="minorEastAsia" w:eastAsiaTheme="minorEastAsia"/>
                <w:sz w:val="21"/>
                <w:szCs w:val="21"/>
                <w:lang w:eastAsia="zh-CN"/>
              </w:rPr>
              <w:t>分，每增加1个满足资格审查要求的类似业绩加</w:t>
            </w:r>
            <w:r>
              <w:rPr>
                <w:rFonts w:cs="微软雅黑" w:asciiTheme="minorEastAsia" w:hAnsiTheme="minorEastAsia" w:eastAsiaTheme="minorEastAsia"/>
                <w:sz w:val="21"/>
                <w:szCs w:val="21"/>
                <w:lang w:eastAsia="zh-CN"/>
              </w:rPr>
              <w:t>1</w:t>
            </w:r>
            <w:r>
              <w:rPr>
                <w:rFonts w:hint="eastAsia" w:cs="微软雅黑" w:asciiTheme="minorEastAsia" w:hAnsiTheme="minorEastAsia" w:eastAsiaTheme="minorEastAsia"/>
                <w:sz w:val="21"/>
                <w:szCs w:val="21"/>
                <w:lang w:eastAsia="zh-CN"/>
              </w:rPr>
              <w:t>分，最多加</w:t>
            </w:r>
            <w:r>
              <w:rPr>
                <w:rFonts w:cs="微软雅黑" w:asciiTheme="minorEastAsia" w:hAnsiTheme="minorEastAsia" w:eastAsiaTheme="minorEastAsia"/>
                <w:sz w:val="21"/>
                <w:szCs w:val="21"/>
                <w:lang w:eastAsia="zh-CN"/>
              </w:rPr>
              <w:t>3</w:t>
            </w:r>
            <w:r>
              <w:rPr>
                <w:rFonts w:hint="eastAsia" w:cs="微软雅黑" w:asciiTheme="minorEastAsia" w:hAnsiTheme="minorEastAsia" w:eastAsiaTheme="minorEastAsia"/>
                <w:sz w:val="21"/>
                <w:szCs w:val="21"/>
                <w:lang w:eastAsia="zh-CN"/>
              </w:rPr>
              <w:t>分。</w:t>
            </w:r>
          </w:p>
          <w:p w14:paraId="28659AC2">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注：①将满足评审办法</w:t>
            </w:r>
            <w:r>
              <w:rPr>
                <w:rFonts w:cs="微软雅黑" w:asciiTheme="minorEastAsia" w:hAnsiTheme="minorEastAsia" w:eastAsiaTheme="minorEastAsia"/>
                <w:sz w:val="21"/>
                <w:szCs w:val="21"/>
                <w:lang w:eastAsia="zh-CN"/>
              </w:rPr>
              <w:t>1.4.2</w:t>
            </w:r>
            <w:r>
              <w:rPr>
                <w:rFonts w:hint="eastAsia" w:cs="微软雅黑" w:asciiTheme="minorEastAsia" w:hAnsiTheme="minorEastAsia" w:eastAsiaTheme="minorEastAsia"/>
                <w:sz w:val="21"/>
                <w:szCs w:val="21"/>
                <w:lang w:eastAsia="zh-CN"/>
              </w:rPr>
              <w:t>④所需条件的合同放在第一份业绩证明中，并附合同总结算金额及凭证，比价时以此份为准。</w:t>
            </w:r>
          </w:p>
          <w:p w14:paraId="3E2CC8B5">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②须提供采购合同文本复印件或任意一月来往的部分发票或银行进账凭证；</w:t>
            </w:r>
          </w:p>
          <w:p w14:paraId="53C86D09">
            <w:pPr>
              <w:pStyle w:val="51"/>
              <w:spacing w:line="300" w:lineRule="exact"/>
              <w:ind w:left="95"/>
              <w:rPr>
                <w:spacing w:val="4"/>
                <w:sz w:val="21"/>
                <w:szCs w:val="21"/>
                <w:lang w:eastAsia="zh-CN"/>
              </w:rPr>
            </w:pPr>
            <w:r>
              <w:rPr>
                <w:rFonts w:hint="eastAsia" w:cs="微软雅黑" w:asciiTheme="minorEastAsia" w:hAnsiTheme="minorEastAsia" w:eastAsiaTheme="minorEastAsia"/>
                <w:sz w:val="21"/>
                <w:szCs w:val="21"/>
                <w:lang w:eastAsia="zh-CN"/>
              </w:rPr>
              <w:t>③同一业主单位的同类项目按一个业绩计算，不重复计分。</w:t>
            </w:r>
          </w:p>
        </w:tc>
      </w:tr>
      <w:tr w14:paraId="274F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atLeast"/>
        </w:trPr>
        <w:tc>
          <w:tcPr>
            <w:tcW w:w="417" w:type="dxa"/>
            <w:vMerge w:val="continue"/>
            <w:vAlign w:val="center"/>
          </w:tcPr>
          <w:p w14:paraId="58A7D227">
            <w:pPr>
              <w:spacing w:line="300" w:lineRule="exact"/>
              <w:jc w:val="center"/>
              <w:rPr>
                <w:rFonts w:ascii="宋体" w:hAnsi="宋体" w:eastAsia="宋体" w:cs="宋体"/>
                <w:spacing w:val="-10"/>
              </w:rPr>
            </w:pPr>
          </w:p>
        </w:tc>
        <w:tc>
          <w:tcPr>
            <w:tcW w:w="568" w:type="dxa"/>
            <w:vMerge w:val="continue"/>
            <w:vAlign w:val="center"/>
          </w:tcPr>
          <w:p w14:paraId="710DD65D">
            <w:pPr>
              <w:spacing w:line="300" w:lineRule="exact"/>
              <w:jc w:val="center"/>
              <w:rPr>
                <w:rFonts w:ascii="宋体" w:hAnsi="宋体" w:eastAsia="宋体" w:cs="宋体"/>
                <w:spacing w:val="-3"/>
              </w:rPr>
            </w:pPr>
          </w:p>
        </w:tc>
        <w:tc>
          <w:tcPr>
            <w:tcW w:w="992" w:type="dxa"/>
            <w:vMerge w:val="continue"/>
            <w:vAlign w:val="center"/>
          </w:tcPr>
          <w:p w14:paraId="3A6560FC">
            <w:pPr>
              <w:spacing w:line="300" w:lineRule="exact"/>
              <w:jc w:val="center"/>
              <w:rPr>
                <w:rFonts w:ascii="宋体" w:hAnsi="宋体" w:eastAsia="宋体" w:cs="宋体"/>
                <w:spacing w:val="2"/>
              </w:rPr>
            </w:pPr>
          </w:p>
        </w:tc>
        <w:tc>
          <w:tcPr>
            <w:tcW w:w="1276" w:type="dxa"/>
            <w:vAlign w:val="center"/>
          </w:tcPr>
          <w:p w14:paraId="610A9F01">
            <w:pPr>
              <w:jc w:val="center"/>
              <w:rPr>
                <w:rFonts w:asciiTheme="minorEastAsia" w:hAnsiTheme="minorEastAsia" w:eastAsiaTheme="minorEastAsia"/>
              </w:rPr>
            </w:pPr>
            <w:r>
              <w:rPr>
                <w:rFonts w:hint="eastAsia" w:cs="宋体" w:asciiTheme="minorEastAsia" w:hAnsiTheme="minorEastAsia" w:eastAsiaTheme="minorEastAsia"/>
              </w:rPr>
              <w:t>货源</w:t>
            </w:r>
          </w:p>
          <w:p w14:paraId="12E64B42">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42241146">
            <w:pPr>
              <w:pStyle w:val="51"/>
              <w:spacing w:line="300" w:lineRule="exact"/>
              <w:jc w:val="center"/>
              <w:rPr>
                <w:spacing w:val="2"/>
                <w:sz w:val="21"/>
                <w:szCs w:val="21"/>
                <w:lang w:eastAsia="zh-CN"/>
              </w:rPr>
            </w:pPr>
            <w:r>
              <w:rPr>
                <w:spacing w:val="2"/>
                <w:sz w:val="21"/>
                <w:szCs w:val="21"/>
                <w:lang w:eastAsia="zh-CN"/>
              </w:rPr>
              <w:t>8</w:t>
            </w:r>
          </w:p>
          <w:p w14:paraId="0C609430">
            <w:pPr>
              <w:pStyle w:val="51"/>
              <w:spacing w:line="300" w:lineRule="exact"/>
              <w:jc w:val="center"/>
              <w:rPr>
                <w:spacing w:val="2"/>
                <w:sz w:val="21"/>
                <w:szCs w:val="21"/>
                <w:lang w:eastAsia="zh-CN"/>
              </w:rPr>
            </w:pPr>
            <w:r>
              <w:rPr>
                <w:rFonts w:hint="eastAsia"/>
                <w:spacing w:val="2"/>
                <w:sz w:val="21"/>
                <w:szCs w:val="21"/>
                <w:lang w:eastAsia="zh-CN"/>
              </w:rPr>
              <w:t>分</w:t>
            </w:r>
          </w:p>
        </w:tc>
        <w:tc>
          <w:tcPr>
            <w:tcW w:w="5811" w:type="dxa"/>
            <w:vAlign w:val="center"/>
          </w:tcPr>
          <w:p w14:paraId="3E3D6A87">
            <w:pPr>
              <w:rPr>
                <w:rFonts w:ascii="宋体" w:hAnsi="宋体" w:eastAsia="宋体" w:cs="宋体"/>
              </w:rPr>
            </w:pPr>
            <w:r>
              <w:rPr>
                <w:rFonts w:hint="eastAsia" w:ascii="宋体" w:hAnsi="宋体" w:eastAsia="宋体" w:cs="宋体"/>
              </w:rPr>
              <w:t>具有投标产品代理资格的，区域总代理得</w:t>
            </w:r>
            <w:r>
              <w:rPr>
                <w:rFonts w:ascii="宋体" w:hAnsi="宋体" w:eastAsia="宋体" w:cs="宋体"/>
              </w:rPr>
              <w:t>2</w:t>
            </w:r>
            <w:r>
              <w:rPr>
                <w:rFonts w:hint="eastAsia" w:ascii="宋体" w:hAnsi="宋体" w:eastAsia="宋体" w:cs="宋体"/>
              </w:rPr>
              <w:t>分</w:t>
            </w:r>
            <w:r>
              <w:rPr>
                <w:rFonts w:ascii="宋体" w:hAnsi="宋体" w:eastAsia="宋体" w:cs="宋体"/>
              </w:rPr>
              <w:t>/</w:t>
            </w:r>
            <w:r>
              <w:rPr>
                <w:rFonts w:hint="eastAsia" w:ascii="宋体" w:hAnsi="宋体" w:eastAsia="宋体" w:cs="宋体"/>
              </w:rPr>
              <w:t>个，普通代理得</w:t>
            </w:r>
            <w:r>
              <w:rPr>
                <w:rFonts w:ascii="宋体" w:hAnsi="宋体" w:eastAsia="宋体" w:cs="宋体"/>
              </w:rPr>
              <w:t>1</w:t>
            </w:r>
            <w:r>
              <w:rPr>
                <w:rFonts w:hint="eastAsia" w:ascii="宋体" w:hAnsi="宋体" w:eastAsia="宋体" w:cs="宋体"/>
              </w:rPr>
              <w:t>分</w:t>
            </w:r>
            <w:r>
              <w:rPr>
                <w:rFonts w:ascii="宋体" w:hAnsi="宋体" w:eastAsia="宋体" w:cs="宋体"/>
              </w:rPr>
              <w:t>/</w:t>
            </w:r>
            <w:r>
              <w:rPr>
                <w:rFonts w:hint="eastAsia" w:ascii="宋体" w:hAnsi="宋体" w:eastAsia="宋体" w:cs="宋体"/>
              </w:rPr>
              <w:t>个，最多</w:t>
            </w:r>
            <w:r>
              <w:rPr>
                <w:rFonts w:ascii="宋体" w:hAnsi="宋体" w:eastAsia="宋体" w:cs="宋体"/>
              </w:rPr>
              <w:t>8</w:t>
            </w:r>
            <w:r>
              <w:rPr>
                <w:rFonts w:hint="eastAsia" w:ascii="宋体" w:hAnsi="宋体" w:eastAsia="宋体" w:cs="宋体"/>
              </w:rPr>
              <w:t>分。</w:t>
            </w:r>
          </w:p>
          <w:p w14:paraId="78FEBF23">
            <w:pPr>
              <w:rPr>
                <w:rFonts w:ascii="宋体" w:hAnsi="宋体" w:eastAsia="宋体" w:cs="宋体"/>
              </w:rPr>
            </w:pPr>
            <w:r>
              <w:rPr>
                <w:rFonts w:hint="eastAsia" w:ascii="宋体" w:hAnsi="宋体" w:eastAsia="宋体" w:cs="宋体"/>
              </w:rPr>
              <w:t>注：</w:t>
            </w:r>
            <w:r>
              <w:rPr>
                <w:rFonts w:hint="eastAsia" w:cs="微软雅黑" w:asciiTheme="minorEastAsia" w:hAnsiTheme="minorEastAsia" w:eastAsiaTheme="minorEastAsia"/>
              </w:rPr>
              <w:t>①</w:t>
            </w:r>
            <w:r>
              <w:rPr>
                <w:rFonts w:hint="eastAsia" w:ascii="宋体" w:hAnsi="宋体" w:eastAsia="宋体" w:cs="宋体"/>
              </w:rPr>
              <w:t>代理资格仅为生产厂家直接授权或区域总代理授权。（提供授权复印件，并加盖投标人公章）。</w:t>
            </w:r>
          </w:p>
          <w:p w14:paraId="53E70F7D">
            <w:pPr>
              <w:rPr>
                <w:rFonts w:ascii="宋体" w:hAnsi="宋体" w:eastAsia="宋体" w:cs="宋体"/>
              </w:rPr>
            </w:pPr>
            <w:r>
              <w:rPr>
                <w:rFonts w:hint="eastAsia" w:cs="微软雅黑" w:asciiTheme="minorEastAsia" w:hAnsiTheme="minorEastAsia" w:eastAsiaTheme="minorEastAsia"/>
              </w:rPr>
              <w:t>①</w:t>
            </w:r>
            <w:r>
              <w:rPr>
                <w:rFonts w:hint="eastAsia" w:ascii="宋体" w:hAnsi="宋体" w:eastAsia="宋体" w:cs="宋体"/>
              </w:rPr>
              <w:t>生产厂家要求：年营业额</w:t>
            </w:r>
            <w:r>
              <w:rPr>
                <w:rFonts w:ascii="宋体" w:hAnsi="宋体" w:eastAsia="宋体" w:cs="宋体"/>
              </w:rPr>
              <w:t>≥5000万</w:t>
            </w:r>
            <w:r>
              <w:rPr>
                <w:rFonts w:hint="eastAsia" w:ascii="宋体" w:hAnsi="宋体" w:eastAsia="宋体" w:cs="宋体"/>
              </w:rPr>
              <w:t>元，且通过</w:t>
            </w:r>
            <w:r>
              <w:rPr>
                <w:rFonts w:ascii="宋体" w:hAnsi="宋体" w:eastAsia="宋体" w:cs="宋体"/>
              </w:rPr>
              <w:t>ISO 9001</w:t>
            </w:r>
            <w:r>
              <w:rPr>
                <w:rFonts w:hint="eastAsia" w:ascii="宋体" w:hAnsi="宋体" w:eastAsia="宋体" w:cs="宋体"/>
              </w:rPr>
              <w:t>认证（提供审计报告及认证复印件）。</w:t>
            </w:r>
          </w:p>
          <w:p w14:paraId="5CDE8DCB">
            <w:pPr>
              <w:rPr>
                <w:rFonts w:ascii="宋体" w:hAnsi="宋体" w:eastAsia="宋体" w:cs="宋体"/>
              </w:rPr>
            </w:pPr>
            <w:r>
              <w:rPr>
                <w:rFonts w:hint="eastAsia" w:ascii="宋体" w:hAnsi="宋体" w:eastAsia="宋体" w:cs="宋体"/>
              </w:rPr>
              <w:t>②授权等级：区域总代理需明确代理区域及排他性条款，非独家代理授权得</w:t>
            </w:r>
            <w:r>
              <w:rPr>
                <w:rFonts w:ascii="宋体" w:hAnsi="宋体" w:eastAsia="宋体" w:cs="宋体"/>
              </w:rPr>
              <w:t>1</w:t>
            </w:r>
            <w:r>
              <w:rPr>
                <w:rFonts w:hint="eastAsia" w:ascii="宋体" w:hAnsi="宋体" w:eastAsia="宋体" w:cs="宋体"/>
              </w:rPr>
              <w:t>分。</w:t>
            </w:r>
          </w:p>
          <w:p w14:paraId="7CA5F76D">
            <w:pPr>
              <w:rPr>
                <w:rFonts w:ascii="宋体" w:hAnsi="宋体" w:eastAsia="宋体" w:cs="宋体"/>
              </w:rPr>
            </w:pPr>
            <w:r>
              <w:rPr>
                <w:rFonts w:hint="eastAsia" w:ascii="宋体" w:hAnsi="宋体" w:eastAsia="宋体" w:cs="宋体"/>
              </w:rPr>
              <w:t>③授权文件需加盖厂家公章及法人签字，并提供可验证的联系方式，否则无效。</w:t>
            </w:r>
          </w:p>
          <w:p w14:paraId="469F3694">
            <w:r>
              <w:rPr>
                <w:rFonts w:hint="eastAsia" w:ascii="宋体" w:hAnsi="宋体" w:eastAsia="宋体" w:cs="宋体"/>
              </w:rPr>
              <w:t>④虚假授权将废标并追究法律责任。</w:t>
            </w:r>
          </w:p>
        </w:tc>
      </w:tr>
      <w:tr w14:paraId="05CE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417" w:type="dxa"/>
            <w:vMerge w:val="continue"/>
            <w:vAlign w:val="center"/>
          </w:tcPr>
          <w:p w14:paraId="1436AFEA">
            <w:pPr>
              <w:spacing w:line="300" w:lineRule="exact"/>
              <w:jc w:val="center"/>
              <w:rPr>
                <w:rFonts w:ascii="宋体" w:hAnsi="宋体" w:eastAsia="宋体" w:cs="宋体"/>
                <w:spacing w:val="-10"/>
              </w:rPr>
            </w:pPr>
          </w:p>
        </w:tc>
        <w:tc>
          <w:tcPr>
            <w:tcW w:w="568" w:type="dxa"/>
            <w:vMerge w:val="continue"/>
            <w:vAlign w:val="center"/>
          </w:tcPr>
          <w:p w14:paraId="5D4D9AD6">
            <w:pPr>
              <w:spacing w:line="300" w:lineRule="exact"/>
              <w:jc w:val="center"/>
              <w:rPr>
                <w:rFonts w:ascii="宋体" w:hAnsi="宋体" w:eastAsia="宋体" w:cs="宋体"/>
                <w:spacing w:val="-3"/>
              </w:rPr>
            </w:pPr>
          </w:p>
        </w:tc>
        <w:tc>
          <w:tcPr>
            <w:tcW w:w="992" w:type="dxa"/>
            <w:vMerge w:val="continue"/>
            <w:vAlign w:val="center"/>
          </w:tcPr>
          <w:p w14:paraId="4A407B8E">
            <w:pPr>
              <w:spacing w:line="300" w:lineRule="exact"/>
              <w:jc w:val="center"/>
              <w:rPr>
                <w:rFonts w:ascii="宋体" w:hAnsi="宋体" w:eastAsia="宋体" w:cs="宋体"/>
                <w:spacing w:val="2"/>
              </w:rPr>
            </w:pPr>
          </w:p>
        </w:tc>
        <w:tc>
          <w:tcPr>
            <w:tcW w:w="1276" w:type="dxa"/>
            <w:vAlign w:val="center"/>
          </w:tcPr>
          <w:p w14:paraId="2D57F589">
            <w:pPr>
              <w:jc w:val="center"/>
              <w:rPr>
                <w:rFonts w:asciiTheme="minorEastAsia" w:hAnsiTheme="minorEastAsia" w:eastAsiaTheme="minorEastAsia"/>
              </w:rPr>
            </w:pPr>
            <w:r>
              <w:rPr>
                <w:rFonts w:hint="eastAsia" w:cs="宋体" w:asciiTheme="minorEastAsia" w:hAnsiTheme="minorEastAsia" w:eastAsiaTheme="minorEastAsia"/>
              </w:rPr>
              <w:t>仓储</w:t>
            </w:r>
          </w:p>
          <w:p w14:paraId="4A9F146C">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6E1CFEDD">
            <w:pPr>
              <w:pStyle w:val="51"/>
              <w:spacing w:line="300" w:lineRule="exact"/>
              <w:jc w:val="center"/>
              <w:rPr>
                <w:spacing w:val="2"/>
                <w:sz w:val="21"/>
                <w:szCs w:val="21"/>
                <w:lang w:eastAsia="zh-CN"/>
              </w:rPr>
            </w:pPr>
            <w:r>
              <w:rPr>
                <w:spacing w:val="2"/>
                <w:sz w:val="21"/>
                <w:szCs w:val="21"/>
                <w:lang w:eastAsia="zh-CN"/>
              </w:rPr>
              <w:t>4</w:t>
            </w:r>
          </w:p>
          <w:p w14:paraId="01DDFD88">
            <w:pPr>
              <w:pStyle w:val="51"/>
              <w:spacing w:line="300" w:lineRule="exact"/>
              <w:jc w:val="center"/>
              <w:rPr>
                <w:spacing w:val="2"/>
                <w:sz w:val="21"/>
                <w:szCs w:val="21"/>
                <w:lang w:eastAsia="zh-CN"/>
              </w:rPr>
            </w:pPr>
            <w:r>
              <w:rPr>
                <w:spacing w:val="2"/>
                <w:sz w:val="21"/>
                <w:szCs w:val="21"/>
                <w:lang w:eastAsia="zh-CN"/>
              </w:rPr>
              <w:t>分</w:t>
            </w:r>
          </w:p>
        </w:tc>
        <w:tc>
          <w:tcPr>
            <w:tcW w:w="5811" w:type="dxa"/>
            <w:vAlign w:val="center"/>
          </w:tcPr>
          <w:p w14:paraId="56481BF2">
            <w:pPr>
              <w:pStyle w:val="51"/>
              <w:spacing w:line="300" w:lineRule="exact"/>
              <w:rPr>
                <w:spacing w:val="4"/>
                <w:sz w:val="21"/>
                <w:szCs w:val="21"/>
                <w:lang w:eastAsia="zh-CN"/>
              </w:rPr>
            </w:pPr>
            <w:r>
              <w:rPr>
                <w:rFonts w:hint="eastAsia"/>
                <w:spacing w:val="4"/>
                <w:sz w:val="21"/>
                <w:szCs w:val="21"/>
                <w:lang w:eastAsia="zh-CN"/>
              </w:rPr>
              <w:t>具有固定的仓储场所，仓库面积</w:t>
            </w:r>
            <w:r>
              <w:rPr>
                <w:spacing w:val="4"/>
                <w:sz w:val="21"/>
                <w:szCs w:val="21"/>
                <w:lang w:eastAsia="zh-CN"/>
              </w:rPr>
              <w:t>500</w:t>
            </w:r>
            <w:r>
              <w:rPr>
                <w:rFonts w:hint="eastAsia"/>
                <w:spacing w:val="4"/>
                <w:sz w:val="21"/>
                <w:szCs w:val="21"/>
                <w:lang w:eastAsia="zh-CN"/>
              </w:rPr>
              <w:t>㎡（不含）以下得1分,</w:t>
            </w:r>
            <w:r>
              <w:rPr>
                <w:spacing w:val="4"/>
                <w:sz w:val="21"/>
                <w:szCs w:val="21"/>
                <w:lang w:eastAsia="zh-CN"/>
              </w:rPr>
              <w:t xml:space="preserve"> 500</w:t>
            </w:r>
            <w:r>
              <w:rPr>
                <w:rFonts w:hint="eastAsia"/>
                <w:spacing w:val="4"/>
                <w:sz w:val="21"/>
                <w:szCs w:val="21"/>
                <w:lang w:eastAsia="zh-CN"/>
              </w:rPr>
              <w:t>㎡（含）以上得2分，</w:t>
            </w:r>
            <w:r>
              <w:rPr>
                <w:spacing w:val="4"/>
                <w:sz w:val="21"/>
                <w:szCs w:val="21"/>
                <w:lang w:eastAsia="zh-CN"/>
              </w:rPr>
              <w:t>每多</w:t>
            </w:r>
            <w:r>
              <w:rPr>
                <w:rFonts w:hint="eastAsia"/>
                <w:spacing w:val="4"/>
                <w:sz w:val="21"/>
                <w:szCs w:val="21"/>
                <w:lang w:eastAsia="zh-CN"/>
              </w:rPr>
              <w:t>1</w:t>
            </w:r>
            <w:r>
              <w:rPr>
                <w:spacing w:val="4"/>
                <w:sz w:val="21"/>
                <w:szCs w:val="21"/>
                <w:lang w:eastAsia="zh-CN"/>
              </w:rPr>
              <w:t>00</w:t>
            </w:r>
            <w:r>
              <w:rPr>
                <w:rFonts w:hint="eastAsia"/>
                <w:spacing w:val="4"/>
                <w:sz w:val="21"/>
                <w:szCs w:val="21"/>
                <w:lang w:eastAsia="zh-CN"/>
              </w:rPr>
              <w:t>㎡加1分，本项最多得4分。其余不得分。（提供产权证或租赁合同复印件并加盖投标人公章，原件备查）。</w:t>
            </w:r>
          </w:p>
        </w:tc>
      </w:tr>
      <w:tr w14:paraId="0E3E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4" w:hRule="atLeast"/>
        </w:trPr>
        <w:tc>
          <w:tcPr>
            <w:tcW w:w="417" w:type="dxa"/>
            <w:vAlign w:val="center"/>
          </w:tcPr>
          <w:p w14:paraId="6AE75BC5">
            <w:pPr>
              <w:spacing w:line="300" w:lineRule="exact"/>
              <w:jc w:val="center"/>
              <w:rPr>
                <w:rFonts w:ascii="宋体" w:hAnsi="宋体" w:eastAsia="宋体" w:cs="宋体"/>
                <w:spacing w:val="-10"/>
              </w:rPr>
            </w:pPr>
            <w:r>
              <w:rPr>
                <w:rFonts w:hint="eastAsia" w:ascii="宋体" w:hAnsi="宋体" w:eastAsia="宋体" w:cs="宋体"/>
                <w:spacing w:val="-10"/>
              </w:rPr>
              <w:t>(4)</w:t>
            </w:r>
          </w:p>
        </w:tc>
        <w:tc>
          <w:tcPr>
            <w:tcW w:w="568" w:type="dxa"/>
            <w:vAlign w:val="center"/>
          </w:tcPr>
          <w:p w14:paraId="290B5556">
            <w:pPr>
              <w:spacing w:line="300" w:lineRule="exact"/>
              <w:jc w:val="center"/>
              <w:rPr>
                <w:rFonts w:ascii="宋体" w:hAnsi="宋体" w:eastAsia="宋体" w:cs="宋体"/>
              </w:rPr>
            </w:pPr>
            <w:r>
              <w:rPr>
                <w:rFonts w:hint="eastAsia" w:ascii="宋体" w:hAnsi="宋体" w:eastAsia="宋体" w:cs="宋体"/>
              </w:rPr>
              <w:t>保</w:t>
            </w:r>
          </w:p>
          <w:p w14:paraId="573D4CA4">
            <w:pPr>
              <w:spacing w:line="300" w:lineRule="exact"/>
              <w:jc w:val="center"/>
              <w:rPr>
                <w:rFonts w:ascii="宋体" w:hAnsi="宋体" w:eastAsia="宋体" w:cs="宋体"/>
              </w:rPr>
            </w:pPr>
            <w:r>
              <w:rPr>
                <w:rFonts w:hint="eastAsia" w:ascii="宋体" w:hAnsi="宋体" w:eastAsia="宋体" w:cs="宋体"/>
              </w:rPr>
              <w:t>障</w:t>
            </w:r>
          </w:p>
          <w:p w14:paraId="61F426B4">
            <w:pPr>
              <w:spacing w:line="300" w:lineRule="exact"/>
              <w:jc w:val="center"/>
              <w:rPr>
                <w:rFonts w:ascii="宋体" w:hAnsi="宋体" w:eastAsia="宋体" w:cs="宋体"/>
              </w:rPr>
            </w:pPr>
            <w:r>
              <w:rPr>
                <w:rFonts w:ascii="宋体" w:hAnsi="宋体" w:eastAsia="宋体" w:cs="宋体"/>
              </w:rPr>
              <w:t>能</w:t>
            </w:r>
          </w:p>
          <w:p w14:paraId="3FA40D63">
            <w:pPr>
              <w:spacing w:line="300" w:lineRule="exact"/>
              <w:jc w:val="center"/>
              <w:rPr>
                <w:rFonts w:ascii="宋体" w:hAnsi="宋体" w:eastAsia="宋体" w:cs="宋体"/>
              </w:rPr>
            </w:pPr>
            <w:r>
              <w:rPr>
                <w:rFonts w:ascii="宋体" w:hAnsi="宋体" w:eastAsia="宋体" w:cs="宋体"/>
              </w:rPr>
              <w:t>力</w:t>
            </w:r>
          </w:p>
          <w:p w14:paraId="68053258">
            <w:pPr>
              <w:rPr>
                <w:rFonts w:eastAsiaTheme="minorEastAsia"/>
              </w:rPr>
            </w:pPr>
          </w:p>
        </w:tc>
        <w:tc>
          <w:tcPr>
            <w:tcW w:w="992" w:type="dxa"/>
            <w:vAlign w:val="center"/>
          </w:tcPr>
          <w:p w14:paraId="392A9F86">
            <w:pPr>
              <w:spacing w:line="300" w:lineRule="exact"/>
              <w:jc w:val="center"/>
              <w:rPr>
                <w:rFonts w:ascii="宋体" w:hAnsi="宋体" w:eastAsia="宋体" w:cs="宋体"/>
                <w:spacing w:val="-2"/>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42504F8A">
            <w:pPr>
              <w:jc w:val="center"/>
              <w:rPr>
                <w:rFonts w:asciiTheme="minorEastAsia" w:hAnsiTheme="minorEastAsia" w:eastAsiaTheme="minorEastAsia"/>
              </w:rPr>
            </w:pPr>
            <w:r>
              <w:rPr>
                <w:rFonts w:hint="eastAsia" w:cs="宋体" w:asciiTheme="minorEastAsia" w:hAnsiTheme="minorEastAsia" w:eastAsiaTheme="minorEastAsia"/>
              </w:rPr>
              <w:t>服务</w:t>
            </w:r>
          </w:p>
          <w:p w14:paraId="76A5BA59">
            <w:pPr>
              <w:jc w:val="center"/>
              <w:rPr>
                <w:rFonts w:asciiTheme="minorEastAsia" w:hAnsiTheme="minorEastAsia" w:eastAsiaTheme="minorEastAsia"/>
              </w:rPr>
            </w:pPr>
            <w:r>
              <w:rPr>
                <w:rFonts w:hint="eastAsia" w:cs="微软雅黑" w:asciiTheme="minorEastAsia" w:hAnsiTheme="minorEastAsia" w:eastAsiaTheme="minorEastAsia"/>
              </w:rPr>
              <w:t>保障</w:t>
            </w:r>
          </w:p>
          <w:p w14:paraId="2C271CB1">
            <w:pPr>
              <w:jc w:val="center"/>
              <w:rPr>
                <w:rFonts w:asciiTheme="minorEastAsia" w:hAnsiTheme="minorEastAsia" w:eastAsiaTheme="minorEastAsia"/>
              </w:rPr>
            </w:pPr>
            <w:r>
              <w:rPr>
                <w:rFonts w:hint="eastAsia" w:cs="微软雅黑" w:asciiTheme="minorEastAsia" w:hAnsiTheme="minorEastAsia" w:eastAsiaTheme="minorEastAsia"/>
              </w:rPr>
              <w:t>能力</w:t>
            </w:r>
          </w:p>
        </w:tc>
        <w:tc>
          <w:tcPr>
            <w:tcW w:w="709" w:type="dxa"/>
            <w:vAlign w:val="center"/>
          </w:tcPr>
          <w:p w14:paraId="5A0E0731">
            <w:pPr>
              <w:jc w:val="center"/>
              <w:rPr>
                <w:rFonts w:ascii="宋体" w:hAnsi="宋体" w:eastAsia="宋体"/>
              </w:rPr>
            </w:pPr>
            <w:r>
              <w:rPr>
                <w:rFonts w:ascii="宋体" w:hAnsi="宋体" w:eastAsia="宋体"/>
              </w:rPr>
              <w:t>20</w:t>
            </w:r>
          </w:p>
          <w:p w14:paraId="40DEC7BB">
            <w:pPr>
              <w:jc w:val="center"/>
              <w:rPr>
                <w:rFonts w:ascii="宋体" w:hAnsi="宋体" w:eastAsia="宋体"/>
              </w:rPr>
            </w:pPr>
            <w:r>
              <w:rPr>
                <w:rFonts w:hint="eastAsia" w:ascii="宋体" w:hAnsi="宋体" w:eastAsia="宋体" w:cs="微软雅黑"/>
              </w:rPr>
              <w:t>分</w:t>
            </w:r>
          </w:p>
        </w:tc>
        <w:tc>
          <w:tcPr>
            <w:tcW w:w="5811" w:type="dxa"/>
            <w:vAlign w:val="center"/>
          </w:tcPr>
          <w:p w14:paraId="360001F3">
            <w:pPr>
              <w:rPr>
                <w:rFonts w:cs="微软雅黑" w:asciiTheme="minorEastAsia" w:hAnsiTheme="minorEastAsia" w:eastAsiaTheme="minorEastAsia"/>
              </w:rPr>
            </w:pPr>
            <w:r>
              <w:rPr>
                <w:rFonts w:cs="微软雅黑" w:asciiTheme="minorEastAsia" w:hAnsiTheme="minorEastAsia" w:eastAsiaTheme="minorEastAsia"/>
              </w:rPr>
              <w:t>1</w:t>
            </w:r>
            <w:r>
              <w:rPr>
                <w:rFonts w:hint="eastAsia" w:cs="微软雅黑" w:asciiTheme="minorEastAsia" w:hAnsiTheme="minorEastAsia" w:eastAsiaTheme="minorEastAsia"/>
              </w:rPr>
              <w:t>、</w:t>
            </w:r>
            <w:r>
              <w:rPr>
                <w:rFonts w:cs="微软雅黑" w:asciiTheme="minorEastAsia" w:hAnsiTheme="minorEastAsia" w:eastAsiaTheme="minorEastAsia"/>
              </w:rPr>
              <w:t>比选申请人投保了</w:t>
            </w:r>
            <w:r>
              <w:rPr>
                <w:rFonts w:hint="eastAsia" w:cs="微软雅黑" w:asciiTheme="minorEastAsia" w:hAnsiTheme="minorEastAsia" w:eastAsiaTheme="minorEastAsia"/>
              </w:rPr>
              <w:t>食品安全责任保险，保额</w:t>
            </w:r>
            <w:r>
              <w:rPr>
                <w:rFonts w:cs="微软雅黑" w:asciiTheme="minorEastAsia" w:hAnsiTheme="minorEastAsia" w:eastAsiaTheme="minorEastAsia"/>
              </w:rPr>
              <w:t>8000</w:t>
            </w:r>
            <w:r>
              <w:rPr>
                <w:rFonts w:hint="eastAsia" w:cs="微软雅黑" w:asciiTheme="minorEastAsia" w:hAnsiTheme="minorEastAsia" w:eastAsiaTheme="minorEastAsia"/>
              </w:rPr>
              <w:t>万（含）以上得</w:t>
            </w:r>
            <w:r>
              <w:rPr>
                <w:rFonts w:cs="微软雅黑" w:asciiTheme="minorEastAsia" w:hAnsiTheme="minorEastAsia" w:eastAsiaTheme="minorEastAsia"/>
              </w:rPr>
              <w:t>10</w:t>
            </w:r>
            <w:r>
              <w:rPr>
                <w:rFonts w:hint="eastAsia" w:cs="微软雅黑" w:asciiTheme="minorEastAsia" w:hAnsiTheme="minorEastAsia" w:eastAsiaTheme="minorEastAsia"/>
              </w:rPr>
              <w:t>分，</w:t>
            </w:r>
            <w:r>
              <w:rPr>
                <w:rFonts w:cs="微软雅黑" w:asciiTheme="minorEastAsia" w:hAnsiTheme="minorEastAsia" w:eastAsiaTheme="minorEastAsia"/>
              </w:rPr>
              <w:t>5000</w:t>
            </w:r>
            <w:r>
              <w:rPr>
                <w:rFonts w:hint="eastAsia" w:cs="微软雅黑" w:asciiTheme="minorEastAsia" w:hAnsiTheme="minorEastAsia" w:eastAsiaTheme="minorEastAsia"/>
              </w:rPr>
              <w:t>万（含）</w:t>
            </w:r>
            <w:r>
              <w:rPr>
                <w:rFonts w:cs="微软雅黑" w:asciiTheme="minorEastAsia" w:hAnsiTheme="minorEastAsia" w:eastAsiaTheme="minorEastAsia"/>
              </w:rPr>
              <w:t>-8000</w:t>
            </w:r>
            <w:r>
              <w:rPr>
                <w:rFonts w:hint="eastAsia" w:cs="微软雅黑" w:asciiTheme="minorEastAsia" w:hAnsiTheme="minorEastAsia" w:eastAsiaTheme="minorEastAsia"/>
              </w:rPr>
              <w:t>万（不含）的得</w:t>
            </w:r>
            <w:r>
              <w:rPr>
                <w:rFonts w:cs="微软雅黑" w:asciiTheme="minorEastAsia" w:hAnsiTheme="minorEastAsia" w:eastAsiaTheme="minorEastAsia"/>
              </w:rPr>
              <w:t>8</w:t>
            </w:r>
            <w:r>
              <w:rPr>
                <w:rFonts w:hint="eastAsia" w:cs="微软雅黑" w:asciiTheme="minorEastAsia" w:hAnsiTheme="minorEastAsia" w:eastAsiaTheme="minorEastAsia"/>
              </w:rPr>
              <w:t>分，</w:t>
            </w:r>
            <w:r>
              <w:rPr>
                <w:rFonts w:cs="微软雅黑" w:asciiTheme="minorEastAsia" w:hAnsiTheme="minorEastAsia" w:eastAsiaTheme="minorEastAsia"/>
              </w:rPr>
              <w:t>5000</w:t>
            </w:r>
            <w:r>
              <w:rPr>
                <w:rFonts w:hint="eastAsia" w:cs="微软雅黑" w:asciiTheme="minorEastAsia" w:hAnsiTheme="minorEastAsia" w:eastAsiaTheme="minorEastAsia"/>
              </w:rPr>
              <w:t>万（不含）以下的得</w:t>
            </w:r>
            <w:r>
              <w:rPr>
                <w:rFonts w:cs="微软雅黑" w:asciiTheme="minorEastAsia" w:hAnsiTheme="minorEastAsia" w:eastAsiaTheme="minorEastAsia"/>
              </w:rPr>
              <w:t>6</w:t>
            </w:r>
            <w:r>
              <w:rPr>
                <w:rFonts w:hint="eastAsia" w:cs="微软雅黑" w:asciiTheme="minorEastAsia" w:hAnsiTheme="minorEastAsia" w:eastAsiaTheme="minorEastAsia"/>
              </w:rPr>
              <w:t>分，没有保险得</w:t>
            </w:r>
            <w:r>
              <w:rPr>
                <w:rFonts w:cs="微软雅黑" w:asciiTheme="minorEastAsia" w:hAnsiTheme="minorEastAsia" w:eastAsiaTheme="minorEastAsia"/>
              </w:rPr>
              <w:t>0</w:t>
            </w:r>
            <w:r>
              <w:rPr>
                <w:rFonts w:hint="eastAsia" w:cs="微软雅黑" w:asciiTheme="minorEastAsia" w:hAnsiTheme="minorEastAsia" w:eastAsiaTheme="minorEastAsia"/>
              </w:rPr>
              <w:t>分，本项最多得</w:t>
            </w:r>
            <w:r>
              <w:rPr>
                <w:rFonts w:cs="微软雅黑" w:asciiTheme="minorEastAsia" w:hAnsiTheme="minorEastAsia" w:eastAsiaTheme="minorEastAsia"/>
              </w:rPr>
              <w:t>10</w:t>
            </w:r>
            <w:r>
              <w:rPr>
                <w:rFonts w:hint="eastAsia" w:cs="微软雅黑" w:asciiTheme="minorEastAsia" w:hAnsiTheme="minorEastAsia" w:eastAsiaTheme="minorEastAsia"/>
              </w:rPr>
              <w:t>分。（提供有效期内的保险单复印件并加盖投标人公章。）</w:t>
            </w:r>
          </w:p>
          <w:p w14:paraId="6E58337F">
            <w:pPr>
              <w:rPr>
                <w:rFonts w:cs="微软雅黑" w:asciiTheme="minorEastAsia" w:hAnsiTheme="minorEastAsia" w:eastAsiaTheme="minorEastAsia"/>
              </w:rPr>
            </w:pPr>
            <w:r>
              <w:rPr>
                <w:rFonts w:hint="eastAsia" w:cs="微软雅黑" w:asciiTheme="minorEastAsia" w:hAnsiTheme="minorEastAsia" w:eastAsiaTheme="minorEastAsia"/>
              </w:rPr>
              <w:t>2、比选申请人拟为本项目设置专业项目经理人的得</w:t>
            </w:r>
            <w:r>
              <w:rPr>
                <w:rFonts w:cs="微软雅黑" w:asciiTheme="minorEastAsia" w:hAnsiTheme="minorEastAsia" w:eastAsiaTheme="minorEastAsia"/>
              </w:rPr>
              <w:t>3</w:t>
            </w:r>
            <w:r>
              <w:rPr>
                <w:rFonts w:hint="eastAsia" w:cs="微软雅黑" w:asciiTheme="minorEastAsia" w:hAnsiTheme="minorEastAsia" w:eastAsiaTheme="minorEastAsia"/>
              </w:rPr>
              <w:t>分，项目经理须具有1年及以上食品食材配送从业经验，项目经理应提供有效的身份证、与比选申请人劳务关系证明，提供健康证可加</w:t>
            </w:r>
            <w:r>
              <w:rPr>
                <w:rFonts w:cs="微软雅黑" w:asciiTheme="minorEastAsia" w:hAnsiTheme="minorEastAsia" w:eastAsiaTheme="minorEastAsia"/>
              </w:rPr>
              <w:t>2</w:t>
            </w:r>
            <w:r>
              <w:rPr>
                <w:rFonts w:hint="eastAsia" w:cs="微软雅黑" w:asciiTheme="minorEastAsia" w:hAnsiTheme="minorEastAsia" w:eastAsiaTheme="minorEastAsia"/>
              </w:rPr>
              <w:t>分，无健康证则不加分，本项最多得</w:t>
            </w:r>
            <w:r>
              <w:rPr>
                <w:rFonts w:cs="微软雅黑" w:asciiTheme="minorEastAsia" w:hAnsiTheme="minorEastAsia" w:eastAsiaTheme="minorEastAsia"/>
              </w:rPr>
              <w:t>5</w:t>
            </w:r>
            <w:r>
              <w:rPr>
                <w:rFonts w:hint="eastAsia" w:cs="微软雅黑" w:asciiTheme="minorEastAsia" w:hAnsiTheme="minorEastAsia" w:eastAsiaTheme="minorEastAsia"/>
              </w:rPr>
              <w:t>分；</w:t>
            </w:r>
          </w:p>
          <w:p w14:paraId="47C659E4">
            <w:pPr>
              <w:rPr>
                <w:rFonts w:cs="微软雅黑" w:asciiTheme="minorEastAsia" w:hAnsiTheme="minorEastAsia" w:eastAsiaTheme="minorEastAsia"/>
              </w:rPr>
            </w:pPr>
            <w:r>
              <w:rPr>
                <w:rFonts w:hint="eastAsia" w:cs="微软雅黑" w:asciiTheme="minorEastAsia" w:hAnsiTheme="minorEastAsia" w:eastAsiaTheme="minorEastAsia"/>
              </w:rPr>
              <w:t>3、比选申请人拟为本项目配备专职配送服务人员至少1人的得</w:t>
            </w:r>
            <w:r>
              <w:rPr>
                <w:rFonts w:cs="微软雅黑" w:asciiTheme="minorEastAsia" w:hAnsiTheme="minorEastAsia" w:eastAsiaTheme="minorEastAsia"/>
              </w:rPr>
              <w:t>2</w:t>
            </w:r>
            <w:r>
              <w:rPr>
                <w:rFonts w:hint="eastAsia" w:cs="微软雅黑" w:asciiTheme="minorEastAsia" w:hAnsiTheme="minorEastAsia" w:eastAsiaTheme="minorEastAsia"/>
              </w:rPr>
              <w:t>分，1人以上的得</w:t>
            </w:r>
            <w:r>
              <w:rPr>
                <w:rFonts w:cs="微软雅黑" w:asciiTheme="minorEastAsia" w:hAnsiTheme="minorEastAsia" w:eastAsiaTheme="minorEastAsia"/>
              </w:rPr>
              <w:t>3</w:t>
            </w:r>
            <w:r>
              <w:rPr>
                <w:rFonts w:hint="eastAsia" w:cs="微软雅黑" w:asciiTheme="minorEastAsia" w:hAnsiTheme="minorEastAsia" w:eastAsiaTheme="minorEastAsia"/>
              </w:rPr>
              <w:t>分，配送服务人员应提供有效身份证、驾驶证、与比选申请人劳务关系证明，提供健康证每人可加1分，无健康证则不加分，本项最多得</w:t>
            </w:r>
            <w:r>
              <w:rPr>
                <w:rFonts w:cs="微软雅黑" w:asciiTheme="minorEastAsia" w:hAnsiTheme="minorEastAsia" w:eastAsiaTheme="minorEastAsia"/>
              </w:rPr>
              <w:t>5</w:t>
            </w:r>
            <w:r>
              <w:rPr>
                <w:rFonts w:hint="eastAsia" w:cs="微软雅黑" w:asciiTheme="minorEastAsia" w:hAnsiTheme="minorEastAsia" w:eastAsiaTheme="minorEastAsia"/>
              </w:rPr>
              <w:t>分；</w:t>
            </w:r>
          </w:p>
          <w:p w14:paraId="37B2D9EE">
            <w:pPr>
              <w:rPr>
                <w:rFonts w:ascii="宋体" w:hAnsi="宋体" w:eastAsia="宋体"/>
              </w:rPr>
            </w:pPr>
            <w:r>
              <w:rPr>
                <w:rFonts w:hint="eastAsia" w:cs="微软雅黑" w:asciiTheme="minorEastAsia" w:hAnsiTheme="minorEastAsia" w:eastAsiaTheme="minorEastAsia"/>
              </w:rPr>
              <w:t>注：配备人员身份证、健康证、劳务关系的证明材料等有关人员信息应为一致，如不一致则不计分；专职人员不得兼任本项目其他职务(比选申请人提供承诺函)。</w:t>
            </w:r>
          </w:p>
        </w:tc>
      </w:tr>
    </w:tbl>
    <w:p w14:paraId="708B508C">
      <w:pPr>
        <w:jc w:val="both"/>
      </w:pPr>
      <w:r>
        <w:rPr>
          <w:rFonts w:hint="eastAsia" w:ascii="微软雅黑" w:hAnsi="微软雅黑" w:eastAsia="微软雅黑" w:cs="微软雅黑"/>
        </w:rPr>
        <w:t>注：1</w:t>
      </w:r>
      <w:r>
        <w:rPr>
          <w:rFonts w:ascii="微软雅黑" w:hAnsi="微软雅黑" w:eastAsia="微软雅黑" w:cs="微软雅黑"/>
        </w:rPr>
        <w:t>.</w:t>
      </w:r>
      <w:r>
        <w:rPr>
          <w:rFonts w:hint="eastAsia" w:ascii="微软雅黑" w:hAnsi="微软雅黑" w:eastAsia="微软雅黑" w:cs="微软雅黑"/>
        </w:rPr>
        <w:t>在计算得分时，各评分因素细分项得分为评审委员会各评委评分的算数平均值，所有评分保留小数点后</w:t>
      </w:r>
      <w:r>
        <w:rPr>
          <w:rFonts w:hint="eastAsia"/>
        </w:rPr>
        <w:t>2</w:t>
      </w:r>
      <w:r>
        <w:rPr>
          <w:rFonts w:hint="eastAsia" w:ascii="微软雅黑" w:hAnsi="微软雅黑" w:eastAsia="微软雅黑" w:cs="微软雅黑"/>
        </w:rPr>
        <w:t>位。</w:t>
      </w:r>
    </w:p>
    <w:p w14:paraId="481E7D3E">
      <w:pPr>
        <w:ind w:firstLine="420" w:firstLineChars="200"/>
        <w:jc w:val="both"/>
      </w:pPr>
      <w:r>
        <w:rPr>
          <w:rFonts w:ascii="微软雅黑" w:hAnsi="微软雅黑" w:eastAsia="微软雅黑" w:cs="微软雅黑"/>
        </w:rPr>
        <w:t>2.比选申请人提供的证明其业绩</w:t>
      </w:r>
      <w:r>
        <w:rPr>
          <w:rFonts w:hint="eastAsia" w:ascii="微软雅黑" w:hAnsi="微软雅黑" w:eastAsia="微软雅黑" w:cs="微软雅黑"/>
        </w:rPr>
        <w:t>、资质等的材料在符合规定的前提下需尽量简洁明晰，能证明其资格的材料按要求仅需要其中一种的，全部提供增大了评审工作量的将酌情扣分。</w:t>
      </w:r>
    </w:p>
    <w:p w14:paraId="6653221F">
      <w:pPr>
        <w:spacing w:line="480" w:lineRule="exact"/>
        <w:ind w:firstLine="486" w:firstLineChars="200"/>
        <w:rPr>
          <w:rFonts w:ascii="宋体" w:hAnsi="宋体" w:eastAsia="宋体" w:cs="宋体"/>
        </w:rPr>
      </w:pPr>
      <w:r>
        <w:rPr>
          <w:rFonts w:hint="eastAsia" w:ascii="宋体" w:hAnsi="宋体" w:eastAsia="宋体" w:cs="宋体"/>
          <w:b/>
          <w:bCs/>
          <w:spacing w:val="16"/>
        </w:rPr>
        <w:t>6.</w:t>
      </w:r>
      <w:r>
        <w:rPr>
          <w:rFonts w:hint="eastAsia" w:ascii="宋体" w:hAnsi="宋体" w:eastAsia="宋体" w:cs="宋体"/>
          <w:b/>
          <w:bCs/>
          <w:spacing w:val="-3"/>
        </w:rPr>
        <w:t>综合评分</w:t>
      </w:r>
    </w:p>
    <w:p w14:paraId="2A2AD0E6">
      <w:pPr>
        <w:spacing w:line="480" w:lineRule="exact"/>
        <w:ind w:firstLine="410" w:firstLineChars="200"/>
        <w:rPr>
          <w:rFonts w:ascii="宋体" w:hAnsi="宋体" w:eastAsia="宋体" w:cs="宋体"/>
        </w:rPr>
      </w:pPr>
      <w:r>
        <w:rPr>
          <w:rFonts w:hint="eastAsia" w:ascii="宋体" w:hAnsi="宋体" w:eastAsia="宋体" w:cs="宋体"/>
          <w:b/>
          <w:bCs/>
          <w:spacing w:val="-3"/>
        </w:rPr>
        <w:t>6.1 比选基准价计算方法</w:t>
      </w:r>
    </w:p>
    <w:p w14:paraId="12279542">
      <w:pPr>
        <w:spacing w:line="480" w:lineRule="exact"/>
        <w:ind w:firstLine="408" w:firstLineChars="200"/>
        <w:rPr>
          <w:rFonts w:ascii="宋体" w:hAnsi="宋体" w:eastAsia="宋体" w:cs="宋体"/>
        </w:rPr>
      </w:pPr>
      <w:r>
        <w:rPr>
          <w:rFonts w:hint="eastAsia" w:ascii="宋体" w:hAnsi="宋体" w:eastAsia="宋体" w:cs="宋体"/>
          <w:spacing w:val="-3"/>
        </w:rPr>
        <w:t>(1)不参与比选基准价计算的情形：</w:t>
      </w:r>
    </w:p>
    <w:p w14:paraId="3AA59278">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① 未在比选申请报价函上填写参选报价的；</w:t>
      </w:r>
    </w:p>
    <w:p w14:paraId="45F9A30E">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② 比选申请报价函上填写的报价高于比选最高</w:t>
      </w:r>
      <w:r>
        <w:rPr>
          <w:rFonts w:hint="eastAsia" w:ascii="宋体" w:hAnsi="宋体" w:eastAsia="宋体" w:cs="宋体"/>
          <w:spacing w:val="-9"/>
        </w:rPr>
        <w:t>限价的；</w:t>
      </w:r>
    </w:p>
    <w:p w14:paraId="1560B629">
      <w:pPr>
        <w:spacing w:line="480" w:lineRule="exact"/>
        <w:ind w:left="388" w:leftChars="185" w:firstLine="392" w:firstLineChars="200"/>
        <w:rPr>
          <w:rFonts w:ascii="宋体" w:hAnsi="宋体" w:eastAsia="宋体" w:cs="宋体"/>
        </w:rPr>
      </w:pPr>
      <w:r>
        <w:rPr>
          <w:rFonts w:hint="eastAsia" w:ascii="宋体" w:hAnsi="宋体" w:eastAsia="宋体" w:cs="宋体"/>
          <w:spacing w:val="-7"/>
        </w:rPr>
        <w:t>③ 报价无法确定具体数值的；</w:t>
      </w:r>
    </w:p>
    <w:p w14:paraId="0EFB934C">
      <w:pPr>
        <w:spacing w:line="480" w:lineRule="exact"/>
        <w:ind w:right="4" w:firstLine="448" w:firstLineChars="200"/>
        <w:rPr>
          <w:rFonts w:ascii="宋体" w:hAnsi="宋体" w:eastAsia="宋体" w:cs="宋体"/>
        </w:rPr>
      </w:pPr>
      <w:r>
        <w:rPr>
          <w:rFonts w:hint="eastAsia" w:ascii="宋体" w:hAnsi="宋体" w:eastAsia="宋体" w:cs="宋体"/>
          <w:spacing w:val="7"/>
        </w:rPr>
        <w:t>(2)比选基准价计算方法：通过资格</w:t>
      </w:r>
      <w:r>
        <w:rPr>
          <w:rFonts w:hint="eastAsia" w:ascii="宋体" w:hAnsi="宋体" w:eastAsia="宋体" w:cs="宋体"/>
          <w:spacing w:val="6"/>
        </w:rPr>
        <w:t>审查、</w:t>
      </w:r>
      <w:r>
        <w:rPr>
          <w:rFonts w:hint="eastAsia" w:ascii="宋体" w:hAnsi="宋体" w:eastAsia="宋体" w:cs="宋体"/>
          <w:spacing w:val="7"/>
        </w:rPr>
        <w:t>形式评审</w:t>
      </w:r>
      <w:r>
        <w:rPr>
          <w:rFonts w:hint="eastAsia" w:ascii="宋体" w:hAnsi="宋体" w:eastAsia="宋体" w:cs="宋体"/>
          <w:spacing w:val="6"/>
        </w:rPr>
        <w:t>的所有有效比选申请文件的第一报价函中的参选报价的</w:t>
      </w:r>
      <w:r>
        <w:rPr>
          <w:rFonts w:hint="eastAsia" w:ascii="宋体" w:hAnsi="宋体" w:eastAsia="宋体" w:cs="宋体"/>
          <w:spacing w:val="5"/>
        </w:rPr>
        <w:t>算术平均值为第一轮比选基准价，比选基准价计算结果四舍五入保留2位小</w:t>
      </w:r>
      <w:r>
        <w:rPr>
          <w:rFonts w:hint="eastAsia" w:ascii="宋体" w:hAnsi="宋体" w:eastAsia="宋体" w:cs="宋体"/>
          <w:spacing w:val="4"/>
        </w:rPr>
        <w:t>数。当按评审办法规定需要开启第二或第三报价函时，</w:t>
      </w:r>
      <w:r>
        <w:rPr>
          <w:rFonts w:hint="eastAsia" w:ascii="宋体" w:hAnsi="宋体" w:eastAsia="宋体" w:cs="宋体"/>
          <w:spacing w:val="7"/>
        </w:rPr>
        <w:t>比选基准价以第二或第三报</w:t>
      </w:r>
      <w:r>
        <w:rPr>
          <w:rFonts w:hint="eastAsia" w:ascii="宋体" w:hAnsi="宋体" w:eastAsia="宋体" w:cs="宋体"/>
          <w:spacing w:val="6"/>
        </w:rPr>
        <w:t>价函中的参选报价的</w:t>
      </w:r>
      <w:r>
        <w:rPr>
          <w:rFonts w:hint="eastAsia" w:ascii="宋体" w:hAnsi="宋体" w:eastAsia="宋体" w:cs="宋体"/>
          <w:spacing w:val="5"/>
        </w:rPr>
        <w:t>算术平均值重新计算。</w:t>
      </w:r>
    </w:p>
    <w:p w14:paraId="6703F550">
      <w:pPr>
        <w:spacing w:line="480" w:lineRule="exact"/>
        <w:ind w:firstLine="440" w:firstLineChars="200"/>
        <w:rPr>
          <w:rFonts w:ascii="宋体" w:hAnsi="宋体" w:eastAsia="宋体" w:cs="宋体"/>
        </w:rPr>
      </w:pPr>
      <w:r>
        <w:rPr>
          <w:rFonts w:hint="eastAsia" w:ascii="宋体" w:hAnsi="宋体" w:eastAsia="宋体" w:cs="宋体"/>
          <w:spacing w:val="5"/>
        </w:rPr>
        <w:t>(3)比选基准价的计算和确定由评审委员会按照上</w:t>
      </w:r>
      <w:r>
        <w:rPr>
          <w:rFonts w:hint="eastAsia" w:ascii="宋体" w:hAnsi="宋体" w:eastAsia="宋体" w:cs="宋体"/>
          <w:spacing w:val="4"/>
        </w:rPr>
        <w:t>述规定在比选现场完成。</w:t>
      </w:r>
    </w:p>
    <w:p w14:paraId="16B35702">
      <w:pPr>
        <w:spacing w:line="480" w:lineRule="exact"/>
        <w:ind w:left="403"/>
        <w:rPr>
          <w:rFonts w:ascii="宋体" w:hAnsi="宋体" w:eastAsia="宋体" w:cs="宋体"/>
        </w:rPr>
      </w:pPr>
      <w:r>
        <w:rPr>
          <w:rFonts w:hint="eastAsia" w:ascii="宋体" w:hAnsi="宋体" w:eastAsia="宋体" w:cs="宋体"/>
          <w:b/>
          <w:bCs/>
          <w:spacing w:val="4"/>
        </w:rPr>
        <w:t>6.</w:t>
      </w:r>
      <w:r>
        <w:rPr>
          <w:rFonts w:ascii="宋体" w:hAnsi="宋体" w:eastAsia="宋体" w:cs="宋体"/>
          <w:b/>
          <w:bCs/>
          <w:spacing w:val="4"/>
        </w:rPr>
        <w:t>2</w:t>
      </w:r>
      <w:r>
        <w:rPr>
          <w:rFonts w:hint="eastAsia" w:ascii="宋体" w:hAnsi="宋体" w:eastAsia="宋体" w:cs="宋体"/>
          <w:b/>
          <w:bCs/>
          <w:spacing w:val="4"/>
        </w:rPr>
        <w:t xml:space="preserve"> 比选申请人综合得分</w:t>
      </w:r>
    </w:p>
    <w:p w14:paraId="120A6135">
      <w:pPr>
        <w:spacing w:line="480" w:lineRule="exact"/>
        <w:ind w:right="22" w:firstLine="399"/>
        <w:rPr>
          <w:rFonts w:ascii="宋体" w:hAnsi="宋体" w:eastAsia="宋体" w:cs="宋体"/>
          <w:spacing w:val="1"/>
        </w:rPr>
      </w:pPr>
      <w:r>
        <w:rPr>
          <w:rFonts w:hint="eastAsia" w:ascii="宋体" w:hAnsi="宋体" w:eastAsia="宋体" w:cs="宋体"/>
          <w:spacing w:val="1"/>
        </w:rPr>
        <w:t>比选申请人综合得分=评分表(1)+(2)+(3)+(4)。综合得分保留小数点后2位。</w:t>
      </w:r>
    </w:p>
    <w:p w14:paraId="638B8D51">
      <w:pPr>
        <w:spacing w:line="480" w:lineRule="exact"/>
        <w:ind w:firstLine="422" w:firstLineChars="200"/>
        <w:rPr>
          <w:rFonts w:ascii="宋体" w:hAnsi="宋体" w:eastAsia="宋体" w:cs="宋体"/>
        </w:rPr>
      </w:pPr>
      <w:r>
        <w:rPr>
          <w:rFonts w:hint="eastAsia" w:ascii="宋体" w:hAnsi="宋体" w:eastAsia="宋体" w:cs="宋体"/>
          <w:b/>
          <w:bCs/>
        </w:rPr>
        <w:t>7.比选申请文件的澄清</w:t>
      </w:r>
    </w:p>
    <w:p w14:paraId="469577FD">
      <w:pPr>
        <w:spacing w:line="480" w:lineRule="exact"/>
        <w:ind w:right="22" w:firstLine="399"/>
        <w:rPr>
          <w:rFonts w:ascii="宋体" w:hAnsi="宋体" w:eastAsia="宋体" w:cs="宋体"/>
        </w:rPr>
      </w:pPr>
      <w:r>
        <w:rPr>
          <w:rFonts w:hint="eastAsia" w:ascii="宋体" w:hAnsi="宋体" w:eastAsia="宋体" w:cs="宋体"/>
          <w:spacing w:val="7"/>
        </w:rPr>
        <w:t>(1)为了有助于比选申请文件的审查、评价和比较，比选人可书面通知比选申请人澄清或</w:t>
      </w:r>
      <w:r>
        <w:rPr>
          <w:rFonts w:hint="eastAsia" w:ascii="宋体" w:hAnsi="宋体" w:eastAsia="宋体" w:cs="宋体"/>
          <w:spacing w:val="1"/>
        </w:rPr>
        <w:t>说明其比选申请文件中不明确的内容，或要求补充相应资料对细微偏差进行补正，对此比选申请</w:t>
      </w:r>
      <w:r>
        <w:rPr>
          <w:rFonts w:hint="eastAsia" w:ascii="宋体" w:hAnsi="宋体" w:eastAsia="宋体" w:cs="宋体"/>
          <w:spacing w:val="-1"/>
        </w:rPr>
        <w:t>人不得拒绝，否则，将否决其报价。</w:t>
      </w:r>
    </w:p>
    <w:p w14:paraId="5C1EC2D0">
      <w:pPr>
        <w:spacing w:line="480" w:lineRule="exact"/>
        <w:ind w:right="22" w:firstLine="399"/>
        <w:rPr>
          <w:rFonts w:ascii="宋体" w:hAnsi="宋体" w:eastAsia="宋体" w:cs="宋体"/>
          <w:spacing w:val="7"/>
        </w:rPr>
      </w:pPr>
      <w:r>
        <w:rPr>
          <w:rFonts w:hint="eastAsia" w:ascii="宋体" w:hAnsi="宋体" w:eastAsia="宋体" w:cs="宋体"/>
          <w:spacing w:val="7"/>
        </w:rPr>
        <w:t>(2)有关澄清、说明和补正的要求和回答以书面形式进行，但比选人和比选申请人均不得因此而提出改变比选文件或比选申请文件实质内容的要求。比选申请人的书面澄清、说明或补正属于比选申请文件的组成部分。</w:t>
      </w:r>
    </w:p>
    <w:p w14:paraId="1618FA75">
      <w:pPr>
        <w:spacing w:line="480" w:lineRule="exact"/>
        <w:ind w:right="22" w:firstLine="399"/>
        <w:rPr>
          <w:rFonts w:ascii="宋体" w:hAnsi="宋体" w:eastAsia="宋体" w:cs="宋体"/>
          <w:spacing w:val="7"/>
        </w:rPr>
      </w:pPr>
      <w:r>
        <w:rPr>
          <w:rFonts w:hint="eastAsia" w:ascii="宋体" w:hAnsi="宋体" w:eastAsia="宋体" w:cs="宋体"/>
          <w:spacing w:val="7"/>
        </w:rPr>
        <w:t>(3)比选人不接受比选申请人对比选申请文件的主动澄清、说明和补正。</w:t>
      </w:r>
    </w:p>
    <w:p w14:paraId="03A800DD">
      <w:pPr>
        <w:spacing w:line="480" w:lineRule="exact"/>
        <w:ind w:left="3" w:firstLine="406" w:firstLineChars="200"/>
        <w:rPr>
          <w:rFonts w:ascii="宋体" w:hAnsi="宋体" w:eastAsia="宋体" w:cs="宋体"/>
        </w:rPr>
      </w:pPr>
      <w:r>
        <w:rPr>
          <w:rFonts w:hint="eastAsia" w:ascii="宋体" w:hAnsi="宋体" w:eastAsia="宋体" w:cs="宋体"/>
          <w:b/>
          <w:bCs/>
          <w:spacing w:val="-4"/>
        </w:rPr>
        <w:t>8.确定中选人</w:t>
      </w:r>
    </w:p>
    <w:p w14:paraId="21ACDCD1">
      <w:pPr>
        <w:spacing w:line="480" w:lineRule="exact"/>
        <w:ind w:right="22" w:firstLine="399"/>
        <w:rPr>
          <w:rFonts w:ascii="宋体" w:hAnsi="宋体" w:eastAsia="宋体" w:cs="宋体"/>
          <w:spacing w:val="7"/>
        </w:rPr>
      </w:pPr>
      <w:r>
        <w:rPr>
          <w:rFonts w:hint="eastAsia" w:ascii="宋体" w:hAnsi="宋体" w:eastAsia="宋体" w:cs="宋体"/>
          <w:spacing w:val="7"/>
        </w:rPr>
        <w:t>(1)比选人授权评审委员会确定中选人。</w:t>
      </w:r>
    </w:p>
    <w:p w14:paraId="3983414C">
      <w:pPr>
        <w:spacing w:line="360" w:lineRule="exact"/>
        <w:ind w:firstLine="448" w:firstLineChars="200"/>
        <w:rPr>
          <w:rFonts w:ascii="宋体" w:hAnsi="宋体" w:eastAsia="宋体" w:cs="宋体"/>
          <w:spacing w:val="7"/>
        </w:rPr>
      </w:pPr>
      <w:r>
        <w:rPr>
          <w:rFonts w:hint="eastAsia" w:ascii="宋体" w:hAnsi="宋体" w:eastAsia="宋体" w:cs="宋体"/>
          <w:spacing w:val="7"/>
        </w:rPr>
        <w:t>(2)评审委员会对通过评审的所有比选申请人，先按照综合得分由高到低进行排序，确定综合得分最高的比选申请人为第一中选候选人。</w:t>
      </w:r>
    </w:p>
    <w:p w14:paraId="567D3C10">
      <w:pPr>
        <w:spacing w:line="480" w:lineRule="exact"/>
        <w:ind w:right="22" w:firstLine="399"/>
        <w:rPr>
          <w:rFonts w:ascii="宋体" w:hAnsi="宋体" w:eastAsia="宋体" w:cs="宋体"/>
          <w:b/>
          <w:bCs/>
          <w:spacing w:val="1"/>
        </w:rPr>
      </w:pPr>
      <w:r>
        <w:rPr>
          <w:rFonts w:hint="eastAsia" w:ascii="宋体" w:hAnsi="宋体" w:eastAsia="宋体" w:cs="宋体"/>
          <w:b/>
          <w:bCs/>
          <w:spacing w:val="1"/>
        </w:rPr>
        <w:t>9.比选报告</w:t>
      </w:r>
    </w:p>
    <w:p w14:paraId="2A1B5CDA">
      <w:pPr>
        <w:pStyle w:val="2"/>
        <w:spacing w:line="480" w:lineRule="exact"/>
        <w:ind w:firstLine="420" w:firstLineChars="200"/>
        <w:rPr>
          <w:rFonts w:ascii="宋体" w:hAnsi="宋体" w:cs="宋体"/>
          <w:sz w:val="21"/>
        </w:rPr>
      </w:pPr>
      <w:r>
        <w:rPr>
          <w:rFonts w:hint="eastAsia" w:ascii="宋体" w:hAnsi="宋体" w:cs="宋体"/>
          <w:sz w:val="21"/>
        </w:rPr>
        <w:t>评审委员会完成评审后，应当向比选人提交书面评审报告。</w:t>
      </w:r>
    </w:p>
    <w:p w14:paraId="5F93925B">
      <w:pPr>
        <w:pStyle w:val="2"/>
      </w:pPr>
      <w:bookmarkStart w:id="42" w:name="_Toc21025"/>
    </w:p>
    <w:p w14:paraId="1F763B3F">
      <w:pPr>
        <w:rPr>
          <w:rFonts w:eastAsiaTheme="minorEastAsia"/>
        </w:rPr>
      </w:pPr>
    </w:p>
    <w:p w14:paraId="2EDFBACE">
      <w:pPr>
        <w:pStyle w:val="2"/>
      </w:pPr>
    </w:p>
    <w:p w14:paraId="357F0FD9">
      <w:pPr>
        <w:rPr>
          <w:rFonts w:eastAsiaTheme="minorEastAsia"/>
        </w:rPr>
      </w:pPr>
    </w:p>
    <w:p w14:paraId="1BF760F0">
      <w:pPr>
        <w:pStyle w:val="2"/>
      </w:pPr>
    </w:p>
    <w:p w14:paraId="627D7F45">
      <w:pPr>
        <w:rPr>
          <w:rFonts w:eastAsiaTheme="minorEastAsia"/>
        </w:rPr>
      </w:pPr>
    </w:p>
    <w:p w14:paraId="068187D0">
      <w:pPr>
        <w:pStyle w:val="2"/>
      </w:pPr>
    </w:p>
    <w:p w14:paraId="6FC21C77">
      <w:pPr>
        <w:rPr>
          <w:rFonts w:eastAsiaTheme="minorEastAsia"/>
        </w:rPr>
      </w:pPr>
    </w:p>
    <w:p w14:paraId="41B8EFCE">
      <w:pPr>
        <w:pStyle w:val="2"/>
      </w:pPr>
    </w:p>
    <w:p w14:paraId="7F853B4D">
      <w:pPr>
        <w:rPr>
          <w:rFonts w:eastAsiaTheme="minorEastAsia"/>
        </w:rPr>
      </w:pPr>
    </w:p>
    <w:p w14:paraId="3F0BFE41">
      <w:pPr>
        <w:pStyle w:val="2"/>
      </w:pPr>
    </w:p>
    <w:p w14:paraId="7446E144">
      <w:pPr>
        <w:rPr>
          <w:rFonts w:eastAsiaTheme="minorEastAsia"/>
        </w:rPr>
      </w:pPr>
    </w:p>
    <w:p w14:paraId="228ED4BC">
      <w:pPr>
        <w:rPr>
          <w:rFonts w:eastAsiaTheme="minorEastAsia"/>
        </w:rPr>
      </w:pPr>
    </w:p>
    <w:p w14:paraId="2C45C336">
      <w:pPr>
        <w:pStyle w:val="2"/>
      </w:pPr>
    </w:p>
    <w:p w14:paraId="408F4E89">
      <w:pPr>
        <w:pStyle w:val="2"/>
      </w:pPr>
    </w:p>
    <w:p w14:paraId="09B2D6D4">
      <w:pPr>
        <w:spacing w:line="960" w:lineRule="exact"/>
        <w:jc w:val="center"/>
        <w:outlineLvl w:val="0"/>
        <w:rPr>
          <w:rFonts w:ascii="黑体" w:hAnsi="黑体" w:eastAsia="黑体" w:cs="黑体"/>
          <w:spacing w:val="6"/>
          <w:sz w:val="44"/>
          <w:szCs w:val="44"/>
        </w:rPr>
      </w:pPr>
      <w:r>
        <w:rPr>
          <w:rFonts w:hint="eastAsia" w:ascii="黑体" w:hAnsi="黑体" w:eastAsia="黑体" w:cs="黑体"/>
          <w:spacing w:val="6"/>
          <w:sz w:val="44"/>
          <w:szCs w:val="44"/>
        </w:rPr>
        <w:t>第四章 合同</w:t>
      </w:r>
      <w:bookmarkEnd w:id="42"/>
      <w:r>
        <w:rPr>
          <w:rFonts w:hint="eastAsia" w:ascii="黑体" w:hAnsi="黑体" w:eastAsia="黑体" w:cs="黑体"/>
          <w:spacing w:val="6"/>
          <w:sz w:val="44"/>
          <w:szCs w:val="44"/>
        </w:rPr>
        <w:t>条款及格式</w:t>
      </w:r>
    </w:p>
    <w:p w14:paraId="38729B3A">
      <w:pPr>
        <w:pStyle w:val="2"/>
      </w:pPr>
    </w:p>
    <w:p w14:paraId="19C9DD97">
      <w:pPr>
        <w:spacing w:line="960" w:lineRule="exact"/>
        <w:ind w:firstLine="640" w:firstLineChars="200"/>
        <w:rPr>
          <w:rFonts w:ascii="黑体" w:hAnsi="黑体" w:eastAsia="黑体" w:cs="黑体"/>
          <w:sz w:val="32"/>
          <w:szCs w:val="32"/>
        </w:rPr>
      </w:pPr>
    </w:p>
    <w:p w14:paraId="77D73A72">
      <w:pPr>
        <w:spacing w:line="219" w:lineRule="auto"/>
        <w:rPr>
          <w:rFonts w:ascii="宋体" w:hAnsi="宋体" w:eastAsia="宋体" w:cs="宋体"/>
          <w:sz w:val="30"/>
          <w:szCs w:val="30"/>
        </w:rPr>
      </w:pPr>
    </w:p>
    <w:p w14:paraId="06860480">
      <w:pPr>
        <w:spacing w:line="219" w:lineRule="auto"/>
        <w:rPr>
          <w:rFonts w:ascii="宋体" w:hAnsi="宋体" w:eastAsia="宋体" w:cs="宋体"/>
          <w:sz w:val="30"/>
          <w:szCs w:val="30"/>
        </w:rPr>
      </w:pPr>
    </w:p>
    <w:p w14:paraId="7A8D62AC">
      <w:pPr>
        <w:spacing w:line="219" w:lineRule="auto"/>
        <w:rPr>
          <w:rFonts w:ascii="宋体" w:hAnsi="宋体" w:eastAsia="宋体" w:cs="宋体"/>
          <w:sz w:val="30"/>
          <w:szCs w:val="30"/>
        </w:rPr>
      </w:pPr>
    </w:p>
    <w:p w14:paraId="61877ECB">
      <w:pPr>
        <w:spacing w:line="219" w:lineRule="auto"/>
        <w:rPr>
          <w:rFonts w:ascii="宋体" w:hAnsi="宋体" w:eastAsia="宋体" w:cs="宋体"/>
          <w:sz w:val="30"/>
          <w:szCs w:val="30"/>
        </w:rPr>
      </w:pPr>
    </w:p>
    <w:p w14:paraId="1EE94B40">
      <w:pPr>
        <w:spacing w:line="219" w:lineRule="auto"/>
        <w:rPr>
          <w:rFonts w:ascii="宋体" w:hAnsi="宋体" w:eastAsia="宋体" w:cs="宋体"/>
          <w:sz w:val="30"/>
          <w:szCs w:val="30"/>
        </w:rPr>
      </w:pPr>
    </w:p>
    <w:p w14:paraId="2642C796">
      <w:pPr>
        <w:pStyle w:val="2"/>
      </w:pPr>
    </w:p>
    <w:p w14:paraId="78F43597">
      <w:pPr>
        <w:rPr>
          <w:rFonts w:eastAsiaTheme="minorEastAsia"/>
        </w:rPr>
      </w:pPr>
    </w:p>
    <w:p w14:paraId="33E1429D">
      <w:pPr>
        <w:pStyle w:val="2"/>
      </w:pPr>
    </w:p>
    <w:p w14:paraId="6DFAF282">
      <w:pPr>
        <w:rPr>
          <w:rFonts w:eastAsiaTheme="minorEastAsia"/>
        </w:rPr>
      </w:pPr>
    </w:p>
    <w:p w14:paraId="2FC1D2EF">
      <w:pPr>
        <w:pStyle w:val="2"/>
      </w:pPr>
    </w:p>
    <w:p w14:paraId="409661A9">
      <w:pPr>
        <w:rPr>
          <w:rFonts w:eastAsiaTheme="minorEastAsia"/>
        </w:rPr>
      </w:pPr>
    </w:p>
    <w:p w14:paraId="2DDD3C54">
      <w:pPr>
        <w:pStyle w:val="2"/>
      </w:pPr>
    </w:p>
    <w:p w14:paraId="4081A741">
      <w:pPr>
        <w:spacing w:line="219" w:lineRule="auto"/>
        <w:rPr>
          <w:rFonts w:ascii="宋体" w:hAnsi="宋体" w:eastAsia="宋体" w:cs="宋体"/>
          <w:sz w:val="30"/>
          <w:szCs w:val="30"/>
        </w:rPr>
      </w:pPr>
    </w:p>
    <w:p w14:paraId="779D64B2">
      <w:pPr>
        <w:pStyle w:val="2"/>
      </w:pPr>
    </w:p>
    <w:p w14:paraId="63C76615">
      <w:pPr>
        <w:rPr>
          <w:rFonts w:eastAsiaTheme="minorEastAsia"/>
        </w:rPr>
      </w:pPr>
    </w:p>
    <w:p w14:paraId="6A180FD1">
      <w:pPr>
        <w:pStyle w:val="2"/>
      </w:pPr>
    </w:p>
    <w:p w14:paraId="2EE38588">
      <w:pPr>
        <w:rPr>
          <w:rFonts w:eastAsiaTheme="minorEastAsia"/>
        </w:rPr>
      </w:pPr>
    </w:p>
    <w:p w14:paraId="7F087C84">
      <w:pPr>
        <w:pStyle w:val="2"/>
      </w:pPr>
    </w:p>
    <w:p w14:paraId="5AB47FB1">
      <w:pPr>
        <w:rPr>
          <w:rFonts w:eastAsiaTheme="minorEastAsia"/>
        </w:rPr>
      </w:pPr>
    </w:p>
    <w:p w14:paraId="7200A870">
      <w:pPr>
        <w:pStyle w:val="2"/>
      </w:pPr>
    </w:p>
    <w:p w14:paraId="440B593C">
      <w:pPr>
        <w:spacing w:line="219" w:lineRule="auto"/>
        <w:rPr>
          <w:rFonts w:ascii="宋体" w:hAnsi="宋体" w:eastAsia="宋体" w:cs="宋体"/>
          <w:sz w:val="30"/>
          <w:szCs w:val="30"/>
        </w:rPr>
      </w:pPr>
    </w:p>
    <w:p w14:paraId="6D68F5C6">
      <w:pPr>
        <w:spacing w:line="219" w:lineRule="auto"/>
        <w:rPr>
          <w:rFonts w:ascii="宋体" w:hAnsi="宋体" w:eastAsia="宋体" w:cs="宋体"/>
          <w:sz w:val="30"/>
          <w:szCs w:val="30"/>
        </w:rPr>
      </w:pPr>
    </w:p>
    <w:p w14:paraId="045C031E">
      <w:pPr>
        <w:rPr>
          <w:rFonts w:eastAsiaTheme="minorEastAsia"/>
        </w:rPr>
      </w:pPr>
    </w:p>
    <w:p w14:paraId="6513BD4E">
      <w:pPr>
        <w:spacing w:line="460" w:lineRule="exact"/>
        <w:jc w:val="center"/>
        <w:rPr>
          <w:rFonts w:ascii="宋体" w:hAnsi="宋体" w:eastAsia="宋体" w:cs="宋体"/>
          <w:b/>
          <w:bCs/>
          <w:sz w:val="32"/>
          <w:szCs w:val="32"/>
        </w:rPr>
      </w:pPr>
      <w:r>
        <w:rPr>
          <w:rFonts w:hint="eastAsia" w:ascii="宋体" w:hAnsi="宋体" w:eastAsia="宋体" w:cs="宋体"/>
          <w:b/>
          <w:bCs/>
          <w:sz w:val="32"/>
          <w:szCs w:val="32"/>
        </w:rPr>
        <w:t>绵阳管理处沿线职工食堂2025年度食材采购项目</w:t>
      </w:r>
    </w:p>
    <w:p w14:paraId="32CD6AEA">
      <w:pPr>
        <w:pStyle w:val="2"/>
        <w:spacing w:line="460" w:lineRule="exact"/>
        <w:jc w:val="center"/>
      </w:pPr>
      <w:r>
        <w:rPr>
          <w:rFonts w:hint="eastAsia" w:ascii="宋体" w:hAnsi="宋体" w:cs="宋体"/>
          <w:b/>
          <w:bCs/>
          <w:sz w:val="32"/>
          <w:szCs w:val="32"/>
        </w:rPr>
        <w:t>合同文件</w:t>
      </w:r>
    </w:p>
    <w:p w14:paraId="15730156">
      <w:pPr>
        <w:spacing w:line="460" w:lineRule="exact"/>
        <w:rPr>
          <w:rFonts w:ascii="宋体" w:hAnsi="宋体" w:eastAsia="宋体" w:cs="宋体"/>
        </w:rPr>
      </w:pPr>
    </w:p>
    <w:p w14:paraId="55A69B2A">
      <w:pPr>
        <w:spacing w:line="460" w:lineRule="exact"/>
        <w:rPr>
          <w:rFonts w:ascii="宋体" w:hAnsi="宋体" w:eastAsia="宋体" w:cs="宋体"/>
        </w:rPr>
      </w:pPr>
      <w:r>
        <w:rPr>
          <w:rFonts w:hint="eastAsia" w:ascii="宋体" w:hAnsi="宋体" w:eastAsia="宋体" w:cs="宋体"/>
        </w:rPr>
        <w:t>甲方（发包人）：</w:t>
      </w:r>
      <w:r>
        <w:rPr>
          <w:rFonts w:hint="eastAsia" w:ascii="宋体" w:hAnsi="宋体" w:eastAsia="宋体" w:cs="宋体"/>
          <w:u w:val="single"/>
        </w:rPr>
        <w:t>四川高速公路建设开发集团有限公司成都分公司</w:t>
      </w:r>
    </w:p>
    <w:p w14:paraId="4773706F">
      <w:pPr>
        <w:spacing w:line="460" w:lineRule="exact"/>
        <w:rPr>
          <w:rFonts w:ascii="宋体" w:hAnsi="宋体" w:eastAsia="宋体" w:cs="宋体"/>
          <w:u w:val="single"/>
        </w:rPr>
      </w:pPr>
      <w:r>
        <w:rPr>
          <w:rFonts w:hint="eastAsia" w:ascii="宋体" w:hAnsi="宋体" w:eastAsia="宋体" w:cs="宋体"/>
        </w:rPr>
        <w:t>乙方（承包人）：</w:t>
      </w:r>
      <w:r>
        <w:rPr>
          <w:rFonts w:hint="eastAsia" w:ascii="宋体" w:hAnsi="宋体" w:eastAsia="宋体" w:cs="宋体"/>
          <w:u w:val="single"/>
        </w:rPr>
        <w:t xml:space="preserve">                                          </w:t>
      </w:r>
    </w:p>
    <w:p w14:paraId="03C2B6CC">
      <w:pPr>
        <w:spacing w:line="460" w:lineRule="exact"/>
        <w:ind w:firstLine="525" w:firstLineChars="250"/>
        <w:rPr>
          <w:rFonts w:ascii="宋体" w:hAnsi="宋体" w:eastAsia="宋体" w:cs="宋体"/>
        </w:rPr>
      </w:pPr>
      <w:r>
        <w:rPr>
          <w:rFonts w:hint="eastAsia" w:ascii="宋体" w:hAnsi="宋体" w:eastAsia="宋体" w:cs="宋体"/>
          <w:bCs/>
        </w:rPr>
        <w:t>甲乙双方本着平等互利的原则，根据《中华人民共和国民法典》及相关法律法规之规定，就乙方向甲方供应货物等相关事宜，经双方协商一致，订立本合同，以资共同遵守。</w:t>
      </w:r>
    </w:p>
    <w:p w14:paraId="22B967D9">
      <w:pPr>
        <w:spacing w:line="460" w:lineRule="exact"/>
        <w:ind w:firstLine="422" w:firstLineChars="200"/>
        <w:jc w:val="both"/>
        <w:rPr>
          <w:rFonts w:ascii="宋体" w:hAnsi="宋体" w:eastAsia="宋体" w:cs="宋体"/>
          <w:b/>
        </w:rPr>
      </w:pPr>
      <w:r>
        <w:rPr>
          <w:rFonts w:hint="eastAsia" w:ascii="宋体" w:hAnsi="宋体" w:eastAsia="宋体" w:cs="宋体"/>
          <w:b/>
        </w:rPr>
        <w:t>第一条</w:t>
      </w:r>
      <w:r>
        <w:rPr>
          <w:rFonts w:hint="eastAsia" w:ascii="宋体" w:hAnsi="宋体" w:eastAsia="宋体" w:cs="宋体"/>
          <w:bCs/>
        </w:rPr>
        <w:t xml:space="preserve"> </w:t>
      </w:r>
      <w:r>
        <w:rPr>
          <w:rFonts w:hint="eastAsia" w:ascii="宋体" w:hAnsi="宋体" w:eastAsia="宋体" w:cs="宋体"/>
          <w:b/>
        </w:rPr>
        <w:t>服务内容</w:t>
      </w:r>
    </w:p>
    <w:p w14:paraId="5A21453D">
      <w:pPr>
        <w:spacing w:line="460" w:lineRule="exact"/>
        <w:ind w:firstLine="420" w:firstLineChars="200"/>
        <w:jc w:val="both"/>
      </w:pPr>
      <w:r>
        <w:rPr>
          <w:rFonts w:hint="eastAsia" w:ascii="宋体" w:hAnsi="宋体" w:eastAsia="宋体" w:cs="宋体"/>
          <w:bCs/>
        </w:rPr>
        <w:t>甲方通过比选确定乙方为绵阳管理处沿线职工食堂2025年度食材采购项目的食材供应商，供应食材包含但不限于：</w:t>
      </w:r>
      <w:r>
        <w:rPr>
          <w:rFonts w:hint="eastAsia" w:ascii="宋体" w:hAnsi="宋体" w:eastAsia="宋体" w:cs="宋体"/>
          <w:color w:val="auto"/>
          <w:spacing w:val="-3"/>
          <w:u w:val="single"/>
        </w:rPr>
        <w:t xml:space="preserve"> 水果、粮油调味、肉禽蛋品、海鲜水产、蔬菜豆制品、干杂副食类、调味品、乳品烘焙、日用杂品等 </w:t>
      </w:r>
      <w:r>
        <w:rPr>
          <w:rFonts w:ascii="宋体" w:hAnsi="宋体" w:eastAsia="宋体" w:cs="宋体"/>
          <w:color w:val="auto"/>
          <w:spacing w:val="-3"/>
        </w:rPr>
        <w:t>。</w:t>
      </w:r>
    </w:p>
    <w:p w14:paraId="2C41314E">
      <w:pPr>
        <w:spacing w:line="460" w:lineRule="exact"/>
        <w:ind w:firstLine="422" w:firstLineChars="200"/>
        <w:jc w:val="both"/>
        <w:rPr>
          <w:rFonts w:ascii="宋体" w:hAnsi="宋体" w:eastAsia="宋体" w:cs="宋体"/>
          <w:b/>
        </w:rPr>
      </w:pPr>
      <w:r>
        <w:rPr>
          <w:rFonts w:hint="eastAsia" w:ascii="宋体" w:hAnsi="宋体" w:eastAsia="宋体" w:cs="宋体"/>
          <w:b/>
        </w:rPr>
        <w:t>第二条 合同期限</w:t>
      </w:r>
    </w:p>
    <w:p w14:paraId="129ECDFF">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w:t>
      </w:r>
      <w:r>
        <w:rPr>
          <w:rFonts w:ascii="宋体" w:hAnsi="宋体" w:eastAsia="宋体" w:cs="宋体"/>
          <w:b/>
          <w:bCs/>
          <w:color w:val="auto"/>
          <w:spacing w:val="-3"/>
          <w:u w:val="single"/>
        </w:rPr>
        <w:t xml:space="preserve"> </w:t>
      </w:r>
      <w:r>
        <w:rPr>
          <w:rFonts w:hint="eastAsia" w:ascii="宋体" w:hAnsi="宋体" w:eastAsia="宋体" w:cs="宋体"/>
          <w:b/>
          <w:bCs/>
          <w:color w:val="auto"/>
          <w:spacing w:val="-3"/>
          <w:u w:val="single"/>
        </w:rPr>
        <w:t xml:space="preserve"> </w:t>
      </w:r>
      <w:r>
        <w:rPr>
          <w:rFonts w:ascii="宋体" w:hAnsi="宋体" w:eastAsia="宋体" w:cs="宋体"/>
          <w:b/>
          <w:bCs/>
          <w:color w:val="auto"/>
          <w:spacing w:val="-3"/>
          <w:u w:val="single"/>
        </w:rPr>
        <w:t xml:space="preserve"> </w:t>
      </w:r>
      <w:r>
        <w:rPr>
          <w:rFonts w:hint="eastAsia" w:ascii="宋体" w:hAnsi="宋体" w:eastAsia="宋体" w:cs="宋体"/>
          <w:b/>
          <w:bCs/>
          <w:color w:val="auto"/>
          <w:spacing w:val="-3"/>
          <w:u w:val="single"/>
        </w:rPr>
        <w:t xml:space="preserve"> </w:t>
      </w:r>
      <w:r>
        <w:rPr>
          <w:rFonts w:hint="eastAsia" w:ascii="宋体" w:hAnsi="宋体" w:eastAsia="宋体" w:cs="宋体"/>
          <w:color w:val="auto"/>
          <w:spacing w:val="-3"/>
        </w:rPr>
        <w:t>年，自本合同签订之日起生效，起止日期</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日止。</w:t>
      </w:r>
    </w:p>
    <w:p w14:paraId="7B300356">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如遇上级单位政策调整或供方无法满足需方基本要求，甲方可随时终止合同，服务结束。</w:t>
      </w:r>
    </w:p>
    <w:p w14:paraId="047B8F05">
      <w:pPr>
        <w:spacing w:line="460" w:lineRule="exact"/>
        <w:ind w:firstLine="422" w:firstLineChars="200"/>
        <w:rPr>
          <w:rFonts w:ascii="宋体" w:hAnsi="宋体" w:eastAsia="宋体" w:cs="宋体"/>
          <w:b/>
          <w:bCs/>
          <w:u w:val="single"/>
        </w:rPr>
      </w:pPr>
      <w:r>
        <w:rPr>
          <w:rFonts w:hint="eastAsia" w:ascii="宋体" w:hAnsi="宋体" w:eastAsia="宋体" w:cs="宋体"/>
          <w:b/>
          <w:bCs/>
          <w:color w:val="auto"/>
        </w:rPr>
        <w:t xml:space="preserve">第三条 </w:t>
      </w:r>
      <w:r>
        <w:rPr>
          <w:rFonts w:hint="eastAsia" w:ascii="宋体" w:hAnsi="宋体" w:eastAsia="宋体" w:cs="宋体"/>
          <w:b/>
          <w:bCs/>
        </w:rPr>
        <w:t>供应食材的标准</w:t>
      </w:r>
    </w:p>
    <w:p w14:paraId="2C2AA498">
      <w:pPr>
        <w:spacing w:line="460" w:lineRule="exact"/>
        <w:ind w:firstLine="420" w:firstLineChars="200"/>
        <w:rPr>
          <w:rFonts w:ascii="宋体" w:hAnsi="宋体" w:eastAsia="宋体" w:cs="宋体"/>
          <w:bCs/>
        </w:rPr>
      </w:pPr>
      <w:r>
        <w:rPr>
          <w:rFonts w:hint="eastAsia" w:ascii="宋体" w:hAnsi="宋体" w:eastAsia="宋体" w:cs="宋体"/>
          <w:bCs/>
        </w:rPr>
        <w:t>3.1 乙方提供给甲方的产品应符合国家、地方及行业要求的强制性规定/标准，当国家、地方或行业有出台新的、更高要求的食品卫生安全标准，以新的、更高要求的标准为准。若甲方的要求高于前述标准/规范的，则以甲方的要求为准；</w:t>
      </w:r>
    </w:p>
    <w:p w14:paraId="062ACD12">
      <w:pPr>
        <w:spacing w:line="460" w:lineRule="exact"/>
        <w:ind w:firstLine="420" w:firstLineChars="200"/>
        <w:rPr>
          <w:rFonts w:ascii="宋体" w:hAnsi="宋体" w:eastAsia="宋体" w:cs="宋体"/>
          <w:bCs/>
        </w:rPr>
      </w:pPr>
      <w:r>
        <w:rPr>
          <w:rFonts w:hint="eastAsia" w:ascii="宋体" w:hAnsi="宋体" w:eastAsia="宋体" w:cs="宋体"/>
          <w:bCs/>
        </w:rPr>
        <w:t>3.2 不允许提供转基因食品或利用转基因食品原料加工的成品，不允许提供含有兴奋剂、有毒有害物质的食品和添加剂；</w:t>
      </w:r>
    </w:p>
    <w:p w14:paraId="6D9E16F5">
      <w:pPr>
        <w:spacing w:line="460" w:lineRule="exact"/>
        <w:ind w:firstLine="420" w:firstLineChars="200"/>
        <w:rPr>
          <w:rFonts w:ascii="宋体" w:hAnsi="宋体" w:eastAsia="宋体" w:cs="宋体"/>
          <w:bCs/>
        </w:rPr>
      </w:pPr>
      <w:r>
        <w:rPr>
          <w:rFonts w:hint="eastAsia" w:ascii="宋体" w:hAnsi="宋体" w:eastAsia="宋体" w:cs="宋体"/>
          <w:bCs/>
        </w:rPr>
        <w:t>3.3 食材中污染物限量、农药残留应符合国家标准GB2762、GB2763等规定；</w:t>
      </w:r>
    </w:p>
    <w:p w14:paraId="5A48A574">
      <w:pPr>
        <w:spacing w:line="460" w:lineRule="exact"/>
        <w:ind w:firstLine="420" w:firstLineChars="200"/>
        <w:rPr>
          <w:rFonts w:ascii="宋体" w:hAnsi="宋体" w:eastAsia="宋体" w:cs="宋体"/>
          <w:bCs/>
        </w:rPr>
      </w:pPr>
      <w:r>
        <w:rPr>
          <w:rFonts w:hint="eastAsia" w:ascii="宋体" w:hAnsi="宋体" w:eastAsia="宋体" w:cs="宋体"/>
          <w:bCs/>
        </w:rPr>
        <w:t>3.4 乙方应按货物质量标准要求对每批次产品进行检验，以确保货物符合食品安全要求，如因乙方原因发生食品安全问题，由乙方承担责任。</w:t>
      </w:r>
    </w:p>
    <w:p w14:paraId="73085417">
      <w:pPr>
        <w:spacing w:line="460" w:lineRule="exact"/>
        <w:ind w:firstLine="420" w:firstLineChars="200"/>
        <w:rPr>
          <w:rFonts w:ascii="宋体" w:hAnsi="宋体" w:eastAsia="宋体" w:cs="宋体"/>
          <w:bCs/>
        </w:rPr>
      </w:pPr>
      <w:r>
        <w:rPr>
          <w:rFonts w:hint="eastAsia" w:ascii="宋体" w:hAnsi="宋体" w:eastAsia="宋体" w:cs="宋体"/>
          <w:bCs/>
        </w:rPr>
        <w:t>3.5 凡标注有保质期的食材，供货时的剩余保质有效期不应少于标注保质期的50%。</w:t>
      </w:r>
    </w:p>
    <w:p w14:paraId="1346229D">
      <w:pPr>
        <w:spacing w:line="460" w:lineRule="exact"/>
        <w:ind w:firstLine="420" w:firstLineChars="200"/>
        <w:rPr>
          <w:rFonts w:ascii="宋体" w:hAnsi="宋体" w:eastAsia="宋体" w:cs="宋体"/>
          <w:bCs/>
        </w:rPr>
      </w:pPr>
      <w:r>
        <w:rPr>
          <w:rFonts w:hint="eastAsia" w:ascii="宋体" w:hAnsi="宋体" w:eastAsia="宋体" w:cs="宋体"/>
          <w:bCs/>
        </w:rPr>
        <w:t>3.6 乙方必须严格执行《中华人民共和国食品安全法》，乙方采购及配送的所有食材及包装必须安全、卫生、新鲜、无毒、无害，符合国家现行食品安全、卫生标准，符合动物检验检疫标准，符合食品行业有关规定。</w:t>
      </w:r>
    </w:p>
    <w:p w14:paraId="085C1BFF">
      <w:pPr>
        <w:spacing w:line="460" w:lineRule="exact"/>
        <w:ind w:firstLine="422" w:firstLineChars="200"/>
        <w:rPr>
          <w:rFonts w:ascii="宋体" w:hAnsi="宋体" w:eastAsia="宋体" w:cs="宋体"/>
          <w:b/>
          <w:bCs/>
          <w:color w:val="auto"/>
        </w:rPr>
      </w:pPr>
      <w:r>
        <w:rPr>
          <w:rFonts w:hint="eastAsia" w:ascii="宋体" w:hAnsi="宋体" w:eastAsia="宋体" w:cs="宋体"/>
          <w:b/>
          <w:bCs/>
          <w:color w:val="auto"/>
        </w:rPr>
        <w:t>第四条 产品验收</w:t>
      </w:r>
    </w:p>
    <w:p w14:paraId="40D89447">
      <w:pPr>
        <w:spacing w:line="460" w:lineRule="exact"/>
        <w:ind w:firstLine="420" w:firstLineChars="200"/>
        <w:rPr>
          <w:rFonts w:ascii="宋体" w:hAnsi="宋体" w:eastAsia="宋体" w:cs="宋体"/>
          <w:color w:val="auto"/>
        </w:rPr>
      </w:pPr>
      <w:r>
        <w:rPr>
          <w:rFonts w:hint="eastAsia" w:ascii="宋体" w:hAnsi="宋体" w:eastAsia="宋体" w:cs="宋体"/>
          <w:color w:val="auto"/>
        </w:rPr>
        <w:t>4.1 货物交付时，甲方应当场对货物的品类、外包装、数量、规格等进行外观验收，</w:t>
      </w:r>
      <w:r>
        <w:rPr>
          <w:rFonts w:hint="eastAsia" w:ascii="宋体" w:hAnsi="宋体" w:eastAsia="宋体" w:cs="宋体"/>
        </w:rPr>
        <w:t>食材验收合格后，甲方应委托专人（食堂管理员）在送货单上签字确认，作为双方结账依据</w:t>
      </w:r>
      <w:r>
        <w:rPr>
          <w:rFonts w:hint="eastAsia" w:ascii="宋体" w:hAnsi="宋体" w:eastAsia="宋体" w:cs="宋体"/>
          <w:color w:val="auto"/>
        </w:rPr>
        <w:t>；如有不符合本合同及采购订单约定的，甲方应当场提出，双方协商处理。</w:t>
      </w:r>
    </w:p>
    <w:p w14:paraId="58895FA0">
      <w:pPr>
        <w:spacing w:line="460" w:lineRule="exact"/>
        <w:ind w:firstLine="420" w:firstLineChars="200"/>
        <w:rPr>
          <w:rFonts w:ascii="宋体" w:hAnsi="宋体" w:eastAsia="宋体" w:cs="宋体"/>
        </w:rPr>
      </w:pPr>
      <w:r>
        <w:rPr>
          <w:rFonts w:hint="eastAsia" w:ascii="宋体" w:hAnsi="宋体" w:eastAsia="宋体" w:cs="宋体"/>
        </w:rPr>
        <w:t xml:space="preserve">4.2 </w:t>
      </w:r>
      <w:r>
        <w:rPr>
          <w:rFonts w:hint="eastAsia" w:ascii="宋体" w:hAnsi="宋体" w:eastAsia="宋体" w:cs="宋体"/>
          <w:lang w:eastAsia="zh-Hans"/>
        </w:rPr>
        <w:t>货物交付后</w:t>
      </w:r>
      <w:r>
        <w:rPr>
          <w:rFonts w:hint="eastAsia" w:ascii="宋体" w:hAnsi="宋体" w:eastAsia="宋体" w:cs="宋体"/>
        </w:rPr>
        <w:t>，若甲方发现质量问题的，立即告知乙方，双方立即就质量问题产品的处理方式进行协商解决。若双方就货物是否存在质量问题存在争议的，应交由双方共同选定的第三方检测机构检验确认（若双方无法就第三方检测机构的选定达成一致的，则由甲方指定具有相应资质的检测机构实施，乙方对该检测单位作出的检测结果予以认可），检测等相关费用由</w:t>
      </w:r>
      <w:r>
        <w:rPr>
          <w:rFonts w:hint="eastAsia" w:ascii="宋体" w:hAnsi="宋体" w:eastAsia="宋体" w:cs="宋体"/>
          <w:lang w:eastAsia="zh-Hans"/>
        </w:rPr>
        <w:t>乙方</w:t>
      </w:r>
      <w:r>
        <w:rPr>
          <w:rFonts w:hint="eastAsia" w:ascii="宋体" w:hAnsi="宋体" w:eastAsia="宋体" w:cs="宋体"/>
        </w:rPr>
        <w:t>先行垫付，最终由主张与检测结果不符的一方承担。</w:t>
      </w:r>
      <w:r>
        <w:rPr>
          <w:rFonts w:hint="eastAsia" w:ascii="宋体" w:hAnsi="宋体" w:eastAsia="宋体" w:cs="宋体"/>
          <w:lang w:eastAsia="zh-Hans"/>
        </w:rPr>
        <w:t>超出前述期限提出的质量异议，乙方有权不予认可。</w:t>
      </w:r>
    </w:p>
    <w:p w14:paraId="35D9578B">
      <w:pPr>
        <w:spacing w:line="460" w:lineRule="exact"/>
        <w:ind w:firstLine="420" w:firstLineChars="200"/>
        <w:rPr>
          <w:rFonts w:ascii="宋体" w:hAnsi="宋体" w:eastAsia="宋体" w:cs="宋体"/>
          <w:color w:val="auto"/>
        </w:rPr>
      </w:pPr>
      <w:r>
        <w:rPr>
          <w:rFonts w:hint="eastAsia" w:ascii="宋体" w:hAnsi="宋体" w:eastAsia="宋体" w:cs="宋体"/>
          <w:color w:val="auto"/>
        </w:rPr>
        <w:t>4.3 若</w:t>
      </w:r>
      <w:r>
        <w:rPr>
          <w:rFonts w:hint="eastAsia" w:ascii="宋体" w:hAnsi="宋体" w:eastAsia="宋体" w:cs="宋体"/>
          <w:color w:val="auto"/>
          <w:lang w:eastAsia="zh-Hans"/>
        </w:rPr>
        <w:t>有合理证据证明</w:t>
      </w:r>
      <w:r>
        <w:rPr>
          <w:rFonts w:hint="eastAsia" w:ascii="宋体" w:hAnsi="宋体" w:eastAsia="宋体" w:cs="宋体"/>
          <w:color w:val="auto"/>
        </w:rPr>
        <w:t>确属乙方产品问题导致甲方遭受经济损失的，乙方应承担赔偿责任。</w:t>
      </w:r>
    </w:p>
    <w:p w14:paraId="0EFAB29B">
      <w:pPr>
        <w:spacing w:line="460" w:lineRule="exact"/>
        <w:ind w:firstLine="420" w:firstLineChars="200"/>
        <w:rPr>
          <w:rFonts w:ascii="宋体" w:hAnsi="宋体" w:eastAsia="宋体" w:cs="宋体"/>
        </w:rPr>
      </w:pPr>
      <w:r>
        <w:rPr>
          <w:rFonts w:hint="eastAsia" w:ascii="宋体" w:hAnsi="宋体" w:eastAsia="宋体" w:cs="宋体"/>
        </w:rPr>
        <w:t>4.4 如因乙方交付的产品不符合本合同及订单要求的，甲方可选择以下解决方式中的一种或多种：</w:t>
      </w:r>
    </w:p>
    <w:p w14:paraId="6F53131E">
      <w:pPr>
        <w:spacing w:line="460" w:lineRule="exact"/>
        <w:ind w:firstLine="420" w:firstLineChars="200"/>
        <w:rPr>
          <w:rFonts w:ascii="宋体" w:hAnsi="宋体" w:eastAsia="宋体" w:cs="宋体"/>
          <w:color w:val="auto"/>
        </w:rPr>
      </w:pPr>
      <w:r>
        <w:rPr>
          <w:rFonts w:hint="eastAsia" w:ascii="宋体" w:hAnsi="宋体" w:eastAsia="宋体" w:cs="宋体"/>
          <w:color w:val="auto"/>
        </w:rPr>
        <w:t>4.4.1 根据产品缺陷程度、损坏程度和损失金额等，经双方协商一致后，对产品进行折价处理；</w:t>
      </w:r>
    </w:p>
    <w:p w14:paraId="10EFBBD3">
      <w:pPr>
        <w:spacing w:line="460" w:lineRule="exact"/>
        <w:ind w:firstLine="420" w:firstLineChars="200"/>
        <w:rPr>
          <w:rFonts w:ascii="宋体" w:hAnsi="宋体" w:eastAsia="宋体" w:cs="宋体"/>
          <w:color w:val="auto"/>
        </w:rPr>
      </w:pPr>
      <w:r>
        <w:rPr>
          <w:rFonts w:hint="eastAsia" w:ascii="宋体" w:hAnsi="宋体" w:eastAsia="宋体" w:cs="宋体"/>
          <w:color w:val="auto"/>
        </w:rPr>
        <w:t>4.4.2 双方就不合格品进行退货退款，乙方自行取回不合格品，或由乙方支付运费、甲方代办承运退回不合格品，或根据乙方的确认由甲方销毁不合格品；</w:t>
      </w:r>
    </w:p>
    <w:p w14:paraId="64C805F6">
      <w:pPr>
        <w:spacing w:line="460" w:lineRule="exact"/>
        <w:ind w:firstLine="420" w:firstLineChars="200"/>
        <w:rPr>
          <w:rFonts w:ascii="宋体" w:hAnsi="宋体" w:eastAsia="宋体" w:cs="宋体"/>
          <w:color w:val="auto"/>
        </w:rPr>
      </w:pPr>
      <w:r>
        <w:rPr>
          <w:rFonts w:hint="eastAsia" w:ascii="宋体" w:hAnsi="宋体" w:eastAsia="宋体" w:cs="宋体"/>
          <w:color w:val="auto"/>
        </w:rPr>
        <w:t>4.4.3 双方就不合格产品与/或缺少的产品进行换货、补充处理，乙方于指定时间内更换、补充合格产品，就不合格产品的处理，按本条款第4.4.2项约定由双方协商确定；</w:t>
      </w:r>
    </w:p>
    <w:p w14:paraId="520B6634">
      <w:pPr>
        <w:spacing w:line="460" w:lineRule="exact"/>
        <w:ind w:firstLine="420" w:firstLineChars="200"/>
        <w:rPr>
          <w:rFonts w:ascii="宋体" w:hAnsi="宋体" w:eastAsia="宋体" w:cs="宋体"/>
          <w:color w:val="auto"/>
        </w:rPr>
      </w:pPr>
      <w:r>
        <w:rPr>
          <w:rFonts w:hint="eastAsia" w:ascii="宋体" w:hAnsi="宋体" w:eastAsia="宋体" w:cs="宋体"/>
          <w:color w:val="auto"/>
        </w:rPr>
        <w:t>4.4.4 乙方交付的产品严重不符合约定的，甲方可解除当批次订单，已交付货物由乙方取回或由乙方支付运费、甲方代办承运退回，乙方退还甲方已支付且乙方已取回货物对应的货款（因质量问题而被有权机关处置的除外）。</w:t>
      </w:r>
    </w:p>
    <w:p w14:paraId="28F7E700">
      <w:pPr>
        <w:spacing w:line="460" w:lineRule="exact"/>
        <w:ind w:firstLine="420" w:firstLineChars="200"/>
        <w:rPr>
          <w:rFonts w:ascii="宋体" w:hAnsi="宋体" w:eastAsia="宋体" w:cs="宋体"/>
        </w:rPr>
      </w:pPr>
      <w:r>
        <w:rPr>
          <w:rFonts w:hint="eastAsia" w:ascii="宋体" w:hAnsi="宋体" w:eastAsia="宋体" w:cs="宋体"/>
        </w:rPr>
        <w:t>若甲方采取的措施中需要乙方取回的，乙方应当在甲方要求的期限内取回，否则因此导致甲方的仓储成本增加的，由乙方承担相关费用。若经甲方催告后仍不取回的，甲方有权自行处置，由此产生的费用由乙方承担。</w:t>
      </w:r>
    </w:p>
    <w:p w14:paraId="0D7460D1">
      <w:pPr>
        <w:spacing w:line="460" w:lineRule="exact"/>
        <w:ind w:firstLine="422" w:firstLineChars="200"/>
        <w:rPr>
          <w:rFonts w:ascii="宋体" w:hAnsi="宋体" w:eastAsia="宋体" w:cs="宋体"/>
          <w:color w:val="auto"/>
        </w:rPr>
      </w:pPr>
      <w:r>
        <w:rPr>
          <w:rFonts w:hint="eastAsia" w:ascii="宋体" w:hAnsi="宋体" w:eastAsia="宋体" w:cs="宋体"/>
          <w:b/>
          <w:bCs/>
          <w:color w:val="auto"/>
        </w:rPr>
        <w:t>第五条 合同价款结算及支付</w:t>
      </w:r>
    </w:p>
    <w:p w14:paraId="486B2A96">
      <w:pPr>
        <w:spacing w:line="460" w:lineRule="exact"/>
        <w:ind w:firstLine="420" w:firstLineChars="200"/>
        <w:rPr>
          <w:rFonts w:ascii="宋体" w:hAnsi="宋体" w:eastAsia="宋体" w:cs="宋体"/>
          <w:color w:val="auto"/>
        </w:rPr>
      </w:pPr>
      <w:r>
        <w:rPr>
          <w:rFonts w:hint="eastAsia" w:ascii="宋体" w:hAnsi="宋体" w:eastAsia="宋体" w:cs="宋体"/>
          <w:color w:val="auto"/>
        </w:rPr>
        <w:t>5.1合同签约价：供货商供应食材报价</w:t>
      </w:r>
      <w:r>
        <w:rPr>
          <w:rFonts w:hint="eastAsia" w:ascii="宋体" w:hAnsi="宋体" w:eastAsia="宋体" w:cs="宋体"/>
          <w:spacing w:val="8"/>
        </w:rPr>
        <w:t>的</w:t>
      </w:r>
      <w:r>
        <w:rPr>
          <w:rFonts w:hint="eastAsia" w:ascii="宋体" w:hAnsi="宋体" w:eastAsia="宋体" w:cs="宋体"/>
          <w:spacing w:val="8"/>
          <w:u w:val="single"/>
        </w:rPr>
        <w:t xml:space="preserve">     </w:t>
      </w:r>
      <w:r>
        <w:rPr>
          <w:rFonts w:hint="eastAsia" w:ascii="宋体" w:hAnsi="宋体" w:eastAsia="宋体" w:cs="宋体"/>
          <w:spacing w:val="8"/>
        </w:rPr>
        <w:t>%</w:t>
      </w:r>
    </w:p>
    <w:p w14:paraId="45153688">
      <w:pPr>
        <w:spacing w:line="460" w:lineRule="exact"/>
        <w:ind w:firstLine="422" w:firstLineChars="200"/>
        <w:rPr>
          <w:rFonts w:ascii="宋体" w:hAnsi="宋体" w:eastAsia="宋体" w:cs="宋体"/>
          <w:b/>
          <w:bCs/>
          <w:color w:val="auto"/>
        </w:rPr>
      </w:pPr>
      <w:r>
        <w:rPr>
          <w:rFonts w:hint="eastAsia" w:ascii="宋体" w:hAnsi="宋体" w:eastAsia="宋体" w:cs="宋体"/>
          <w:b/>
          <w:bCs/>
          <w:color w:val="auto"/>
        </w:rPr>
        <w:t>最终结算金额=供货商供应食材报价*报价比例*月实际采购数量。</w:t>
      </w:r>
    </w:p>
    <w:p w14:paraId="26586E95">
      <w:pPr>
        <w:spacing w:line="460" w:lineRule="exact"/>
        <w:ind w:firstLine="422" w:firstLineChars="200"/>
        <w:rPr>
          <w:rFonts w:ascii="宋体" w:hAnsi="宋体" w:eastAsia="宋体" w:cs="宋体"/>
          <w:b/>
          <w:bCs/>
          <w:color w:val="auto"/>
        </w:rPr>
      </w:pPr>
      <w:r>
        <w:rPr>
          <w:rFonts w:ascii="宋体" w:hAnsi="宋体" w:eastAsia="宋体" w:cs="宋体"/>
          <w:b/>
          <w:bCs/>
          <w:color w:val="auto"/>
        </w:rPr>
        <w:t>（供货商供应食材报价高于市场基准价的</w:t>
      </w:r>
      <w:r>
        <w:rPr>
          <w:rFonts w:hint="eastAsia" w:ascii="宋体" w:hAnsi="宋体" w:eastAsia="宋体" w:cs="宋体"/>
          <w:b/>
          <w:bCs/>
          <w:color w:val="auto"/>
        </w:rPr>
        <w:t>，以市场基准价结算。）</w:t>
      </w:r>
    </w:p>
    <w:p w14:paraId="5E32319B">
      <w:pPr>
        <w:spacing w:line="460" w:lineRule="exact"/>
        <w:ind w:firstLine="420" w:firstLineChars="200"/>
        <w:rPr>
          <w:rFonts w:ascii="宋体" w:hAnsi="宋体" w:eastAsia="宋体" w:cs="宋体"/>
          <w:color w:val="auto"/>
        </w:rPr>
      </w:pPr>
      <w:r>
        <w:rPr>
          <w:rFonts w:hint="eastAsia" w:ascii="宋体" w:hAnsi="宋体" w:eastAsia="宋体" w:cs="宋体"/>
          <w:color w:val="auto"/>
        </w:rPr>
        <w:t>5.2 甲乙双方一致同意按双方签字确认的送货单单据结算，结算方式为月结，结算日期按甲方拟定为准，甲方收到对应发票后</w:t>
      </w:r>
      <w:r>
        <w:rPr>
          <w:rFonts w:ascii="宋体" w:hAnsi="宋体" w:eastAsia="宋体" w:cs="宋体"/>
          <w:color w:val="auto"/>
        </w:rPr>
        <w:t>3</w:t>
      </w:r>
      <w:r>
        <w:rPr>
          <w:rFonts w:hint="eastAsia" w:ascii="宋体" w:hAnsi="宋体" w:eastAsia="宋体" w:cs="宋体"/>
          <w:color w:val="auto"/>
        </w:rPr>
        <w:t>0日内付款。</w:t>
      </w:r>
      <w:r>
        <w:rPr>
          <w:rFonts w:hint="eastAsia" w:ascii="宋体" w:hAnsi="宋体" w:eastAsia="宋体" w:cs="宋体"/>
        </w:rPr>
        <w:t>若乙方未能提供发票或提供的发票不符合要求，甲方有权顺延付款期限且不构成违约。</w:t>
      </w:r>
    </w:p>
    <w:p w14:paraId="074A5E2B">
      <w:pPr>
        <w:spacing w:line="460" w:lineRule="exact"/>
        <w:ind w:firstLine="420" w:firstLineChars="200"/>
        <w:rPr>
          <w:rFonts w:ascii="宋体" w:hAnsi="宋体" w:eastAsia="宋体" w:cs="宋体"/>
          <w:color w:val="auto"/>
        </w:rPr>
      </w:pPr>
      <w:r>
        <w:rPr>
          <w:rFonts w:hint="eastAsia" w:ascii="宋体" w:hAnsi="宋体" w:eastAsia="宋体" w:cs="宋体"/>
          <w:color w:val="auto"/>
        </w:rPr>
        <w:t>5.3 发票类型约定：</w:t>
      </w:r>
    </w:p>
    <w:p w14:paraId="377852C9">
      <w:pPr>
        <w:spacing w:line="460" w:lineRule="exact"/>
        <w:ind w:firstLine="420" w:firstLineChars="200"/>
        <w:rPr>
          <w:rFonts w:ascii="宋体" w:hAnsi="宋体" w:eastAsia="宋体" w:cs="宋体"/>
        </w:rPr>
      </w:pPr>
      <w:r>
        <w:rPr>
          <w:rFonts w:hint="eastAsia" w:ascii="宋体" w:hAnsi="宋体" w:eastAsia="宋体" w:cs="宋体"/>
          <w:color w:val="auto"/>
        </w:rPr>
        <w:t>5.3.1 对于国家税法规定的免税农副产品及其他含税产品，乙方</w:t>
      </w:r>
      <w:r>
        <w:rPr>
          <w:rFonts w:hint="eastAsia" w:ascii="宋体" w:hAnsi="宋体" w:eastAsia="宋体" w:cs="宋体"/>
        </w:rPr>
        <w:t>应向甲方提供合法、有效、等额的普通增值税发票。</w:t>
      </w:r>
    </w:p>
    <w:p w14:paraId="64218272">
      <w:pPr>
        <w:spacing w:line="460" w:lineRule="exact"/>
        <w:ind w:firstLine="420" w:firstLineChars="200"/>
        <w:rPr>
          <w:rFonts w:ascii="宋体" w:hAnsi="宋体" w:eastAsia="宋体" w:cs="宋体"/>
          <w:color w:val="auto"/>
        </w:rPr>
      </w:pPr>
      <w:r>
        <w:rPr>
          <w:rFonts w:hint="eastAsia" w:ascii="宋体" w:hAnsi="宋体" w:eastAsia="宋体" w:cs="宋体"/>
          <w:color w:val="auto"/>
        </w:rPr>
        <w:t>5.3.2 甲乙双方一致同意按照食材品类开具对应税率的增值税普通发票，即乙方为甲方按照配送明细，按品类逐条开具发票。</w:t>
      </w:r>
    </w:p>
    <w:p w14:paraId="3F7AA030">
      <w:pPr>
        <w:widowControl w:val="0"/>
        <w:spacing w:line="460" w:lineRule="exact"/>
        <w:ind w:firstLine="420" w:firstLineChars="200"/>
        <w:jc w:val="both"/>
        <w:rPr>
          <w:rFonts w:ascii="宋体" w:hAnsi="宋体" w:eastAsia="宋体" w:cs="宋体"/>
        </w:rPr>
      </w:pPr>
      <w:r>
        <w:rPr>
          <w:rFonts w:hint="eastAsia" w:ascii="宋体" w:hAnsi="宋体" w:eastAsia="宋体" w:cs="宋体"/>
        </w:rPr>
        <w:t>5.4 双方开票信息</w:t>
      </w:r>
    </w:p>
    <w:p w14:paraId="59E2AA66">
      <w:pPr>
        <w:spacing w:line="460" w:lineRule="exact"/>
        <w:ind w:left="420"/>
      </w:pPr>
      <w:r>
        <w:rPr>
          <w:rFonts w:hint="eastAsia" w:ascii="宋体" w:hAnsi="宋体" w:eastAsia="宋体" w:cs="宋体"/>
        </w:rPr>
        <w:t xml:space="preserve">甲方账户名称： </w:t>
      </w:r>
      <w:r>
        <w:rPr>
          <w:rFonts w:ascii="宋体" w:hAnsi="宋体" w:eastAsia="宋体" w:cs="宋体"/>
        </w:rPr>
        <w:t xml:space="preserve">                         </w:t>
      </w:r>
      <w:r>
        <w:rPr>
          <w:rFonts w:hint="eastAsia" w:ascii="宋体" w:hAnsi="宋体" w:eastAsia="宋体" w:cs="宋体"/>
        </w:rPr>
        <w:t>统一社会信用代码：</w:t>
      </w:r>
      <w:r>
        <w:t xml:space="preserve"> </w:t>
      </w:r>
      <w:r>
        <w:br w:type="textWrapping"/>
      </w:r>
      <w:r>
        <w:rPr>
          <w:rFonts w:hint="eastAsia" w:ascii="宋体" w:hAnsi="宋体" w:eastAsia="宋体" w:cs="宋体"/>
        </w:rPr>
        <w:t>开户行：</w:t>
      </w:r>
      <w:r>
        <w:t xml:space="preserve">                                </w:t>
      </w:r>
      <w:r>
        <w:rPr>
          <w:rFonts w:hint="eastAsia" w:ascii="宋体" w:hAnsi="宋体" w:eastAsia="宋体" w:cs="宋体"/>
        </w:rPr>
        <w:t>账号：</w:t>
      </w:r>
      <w:r>
        <w:t xml:space="preserve"> </w:t>
      </w:r>
      <w:r>
        <w:br w:type="textWrapping"/>
      </w:r>
      <w:r>
        <w:rPr>
          <w:rFonts w:hint="eastAsia" w:ascii="宋体" w:hAnsi="宋体" w:eastAsia="宋体" w:cs="宋体"/>
        </w:rPr>
        <w:t>乙方账户名称：</w:t>
      </w:r>
      <w:r>
        <w:t xml:space="preserve">                          </w:t>
      </w:r>
      <w:r>
        <w:rPr>
          <w:rFonts w:hint="eastAsia" w:ascii="宋体" w:hAnsi="宋体" w:eastAsia="宋体" w:cs="宋体"/>
        </w:rPr>
        <w:t>统一社会信用代码：</w:t>
      </w:r>
      <w:r>
        <w:t xml:space="preserve"> </w:t>
      </w:r>
      <w:r>
        <w:br w:type="textWrapping"/>
      </w:r>
      <w:r>
        <w:rPr>
          <w:rFonts w:hint="eastAsia" w:ascii="宋体" w:hAnsi="宋体" w:eastAsia="宋体" w:cs="宋体"/>
        </w:rPr>
        <w:t xml:space="preserve">开户行： </w:t>
      </w:r>
      <w:r>
        <w:rPr>
          <w:rFonts w:ascii="宋体" w:hAnsi="宋体" w:eastAsia="宋体" w:cs="宋体"/>
        </w:rPr>
        <w:t xml:space="preserve">                               </w:t>
      </w:r>
      <w:r>
        <w:rPr>
          <w:rFonts w:hint="eastAsia" w:ascii="宋体" w:hAnsi="宋体" w:eastAsia="宋体" w:cs="宋体"/>
        </w:rPr>
        <w:t>账号：</w:t>
      </w:r>
    </w:p>
    <w:p w14:paraId="3E61C6C1">
      <w:pPr>
        <w:spacing w:line="460" w:lineRule="exact"/>
        <w:ind w:firstLine="422" w:firstLineChars="200"/>
        <w:rPr>
          <w:rFonts w:ascii="宋体" w:hAnsi="宋体" w:eastAsia="宋体" w:cs="宋体"/>
          <w:b/>
          <w:bCs/>
        </w:rPr>
      </w:pPr>
      <w:r>
        <w:rPr>
          <w:rFonts w:hint="eastAsia" w:ascii="宋体" w:hAnsi="宋体" w:eastAsia="宋体" w:cs="宋体"/>
          <w:b/>
          <w:bCs/>
        </w:rPr>
        <w:t>第六条 甲方的权利和责任</w:t>
      </w:r>
    </w:p>
    <w:p w14:paraId="7F6ED382">
      <w:pPr>
        <w:spacing w:line="460" w:lineRule="exact"/>
        <w:ind w:firstLine="420" w:firstLineChars="200"/>
        <w:rPr>
          <w:rFonts w:ascii="宋体" w:hAnsi="宋体" w:eastAsia="宋体" w:cs="宋体"/>
          <w:color w:val="auto"/>
        </w:rPr>
      </w:pPr>
      <w:r>
        <w:rPr>
          <w:rFonts w:hint="eastAsia" w:ascii="宋体" w:hAnsi="宋体" w:eastAsia="宋体" w:cs="宋体"/>
          <w:color w:val="auto"/>
        </w:rPr>
        <w:t>6.1 甲方于前一天21：00之前提出第二天主要食材采购计划，甲方如因加餐需要加购零星食材，可临时向乙方下单，乙方必须按照甲方要求的时间送货。</w:t>
      </w:r>
    </w:p>
    <w:p w14:paraId="4F3BFA7A">
      <w:pPr>
        <w:spacing w:line="460" w:lineRule="exact"/>
        <w:ind w:firstLine="420" w:firstLineChars="200"/>
        <w:rPr>
          <w:rFonts w:ascii="宋体" w:hAnsi="宋体" w:eastAsia="宋体" w:cs="宋体"/>
          <w:color w:val="auto"/>
        </w:rPr>
      </w:pPr>
      <w:r>
        <w:rPr>
          <w:rFonts w:hint="eastAsia" w:ascii="宋体" w:hAnsi="宋体" w:eastAsia="宋体" w:cs="宋体"/>
          <w:color w:val="auto"/>
        </w:rPr>
        <w:t>6.2 甲方有权核查乙方所供应食材的数量、质量和价格，如有异议，应及时与乙方核对并确认。</w:t>
      </w:r>
    </w:p>
    <w:p w14:paraId="6DFDFE7B">
      <w:pPr>
        <w:spacing w:line="460" w:lineRule="exact"/>
        <w:ind w:firstLine="420" w:firstLineChars="200"/>
        <w:rPr>
          <w:rFonts w:ascii="宋体" w:hAnsi="宋体" w:eastAsia="宋体" w:cs="宋体"/>
          <w:color w:val="auto"/>
        </w:rPr>
      </w:pPr>
      <w:r>
        <w:rPr>
          <w:rFonts w:hint="eastAsia" w:ascii="宋体" w:hAnsi="宋体" w:eastAsia="宋体" w:cs="宋体"/>
          <w:color w:val="auto"/>
        </w:rPr>
        <w:t>6.3 严格执行食材验收制度，对有质量问题和不符合《食品安全法》的食材，甲方有权要求退换，损失由乙方自行负责。</w:t>
      </w:r>
    </w:p>
    <w:p w14:paraId="5307FE67">
      <w:pPr>
        <w:spacing w:line="460" w:lineRule="exact"/>
        <w:ind w:firstLine="420" w:firstLineChars="200"/>
        <w:rPr>
          <w:rFonts w:ascii="宋体" w:hAnsi="宋体" w:eastAsia="宋体" w:cs="宋体"/>
        </w:rPr>
      </w:pPr>
      <w:r>
        <w:rPr>
          <w:rFonts w:hint="eastAsia" w:ascii="宋体" w:hAnsi="宋体" w:eastAsia="宋体" w:cs="宋体"/>
        </w:rPr>
        <w:t>6.4 甲方的采购计划应准确、并及时通知乙方。乙方按甲方计划供应的食材，如非质量问题，不予退换。</w:t>
      </w:r>
    </w:p>
    <w:p w14:paraId="4E3DBBFC">
      <w:pPr>
        <w:pStyle w:val="2"/>
        <w:spacing w:line="460" w:lineRule="exact"/>
        <w:ind w:firstLine="420" w:firstLineChars="200"/>
        <w:rPr>
          <w:sz w:val="21"/>
        </w:rPr>
      </w:pPr>
      <w:r>
        <w:rPr>
          <w:rFonts w:hint="eastAsia" w:ascii="宋体" w:hAnsi="宋体" w:cs="宋体"/>
          <w:sz w:val="21"/>
        </w:rPr>
        <w:t>6.5</w:t>
      </w:r>
      <w:r>
        <w:rPr>
          <w:rFonts w:ascii="宋体" w:hAnsi="宋体" w:cs="宋体"/>
          <w:sz w:val="21"/>
        </w:rPr>
        <w:t xml:space="preserve"> </w:t>
      </w:r>
      <w:r>
        <w:rPr>
          <w:rFonts w:hint="eastAsia" w:ascii="宋体" w:hAnsi="宋体" w:cs="宋体"/>
          <w:sz w:val="21"/>
        </w:rPr>
        <w:t>甲方每月</w:t>
      </w:r>
      <w:r>
        <w:rPr>
          <w:rFonts w:hint="eastAsia"/>
          <w:sz w:val="21"/>
        </w:rPr>
        <w:t>至少一次对供应商的食材报价与绵阳市发展和改革委员会网站上公布的离抽样时间最近一次的《绵阳城区主副食品民生价格信息行情》中七家农贸市场的平均价格为</w:t>
      </w:r>
      <w:r>
        <w:rPr>
          <w:rFonts w:hint="eastAsia" w:ascii="宋体" w:hAnsi="宋体" w:cs="宋体"/>
          <w:color w:val="auto"/>
          <w:sz w:val="21"/>
        </w:rPr>
        <w:t>市场基准价</w:t>
      </w:r>
      <w:r>
        <w:rPr>
          <w:rFonts w:hint="eastAsia"/>
          <w:sz w:val="21"/>
        </w:rPr>
        <w:t>进行抽样对比，如网站上无抽样的同类同质食材，则与绵阳市涪城区、游仙区及江油市范围内批发市场、大型超市（如永辉、汇星、龙门批发市场等）同类同质食材的不少于三家的市场零售价的平均价为</w:t>
      </w:r>
      <w:r>
        <w:rPr>
          <w:rFonts w:hint="eastAsia" w:ascii="宋体" w:hAnsi="宋体" w:cs="宋体"/>
          <w:color w:val="auto"/>
          <w:sz w:val="21"/>
        </w:rPr>
        <w:t>市场基准价</w:t>
      </w:r>
      <w:r>
        <w:rPr>
          <w:rFonts w:hint="eastAsia"/>
          <w:sz w:val="21"/>
        </w:rPr>
        <w:t>进行对比，供应商提供的食材报价超过</w:t>
      </w:r>
      <w:r>
        <w:rPr>
          <w:rFonts w:hint="eastAsia" w:ascii="宋体" w:hAnsi="宋体" w:cs="宋体"/>
          <w:color w:val="auto"/>
          <w:sz w:val="21"/>
        </w:rPr>
        <w:t>市场基准价</w:t>
      </w:r>
      <w:r>
        <w:rPr>
          <w:rFonts w:hint="eastAsia"/>
          <w:sz w:val="21"/>
        </w:rPr>
        <w:t>1</w:t>
      </w:r>
      <w:r>
        <w:rPr>
          <w:sz w:val="21"/>
        </w:rPr>
        <w:t>0%且无法在三个工作日内提供让比选人同意认可的合理有效书面情况说明</w:t>
      </w:r>
      <w:r>
        <w:rPr>
          <w:rFonts w:hint="eastAsia"/>
          <w:sz w:val="21"/>
        </w:rPr>
        <w:t>的，将视为违约，相关违约条款详见合同。</w:t>
      </w:r>
    </w:p>
    <w:p w14:paraId="4999A305">
      <w:pPr>
        <w:spacing w:line="460" w:lineRule="exact"/>
        <w:ind w:firstLine="420" w:firstLineChars="200"/>
        <w:rPr>
          <w:rFonts w:ascii="宋体" w:hAnsi="宋体" w:eastAsia="宋体" w:cs="宋体"/>
        </w:rPr>
      </w:pPr>
      <w:r>
        <w:rPr>
          <w:rFonts w:hint="eastAsia" w:ascii="宋体" w:hAnsi="宋体" w:eastAsia="宋体" w:cs="宋体"/>
        </w:rPr>
        <w:t>6.6</w:t>
      </w:r>
      <w:r>
        <w:rPr>
          <w:rFonts w:ascii="宋体" w:hAnsi="宋体" w:eastAsia="宋体" w:cs="宋体"/>
        </w:rPr>
        <w:t xml:space="preserve"> 市场基准</w:t>
      </w:r>
      <w:r>
        <w:rPr>
          <w:rFonts w:hint="eastAsia" w:ascii="宋体" w:hAnsi="宋体" w:eastAsia="宋体" w:cs="宋体"/>
        </w:rPr>
        <w:t>单</w:t>
      </w:r>
      <w:r>
        <w:rPr>
          <w:rFonts w:ascii="宋体" w:hAnsi="宋体" w:eastAsia="宋体" w:cs="宋体"/>
        </w:rPr>
        <w:t>价的确定：</w:t>
      </w:r>
    </w:p>
    <w:p w14:paraId="34A71BE3">
      <w:pPr>
        <w:spacing w:line="360" w:lineRule="exact"/>
        <w:ind w:firstLine="420" w:firstLineChars="200"/>
        <w:jc w:val="both"/>
        <w:rPr>
          <w:rFonts w:ascii="宋体" w:hAnsi="宋体" w:eastAsia="宋体" w:cs="宋体"/>
        </w:rPr>
      </w:pPr>
      <w:r>
        <w:rPr>
          <w:rFonts w:ascii="宋体" w:hAnsi="宋体" w:eastAsia="宋体" w:cs="宋体"/>
        </w:rPr>
        <w:t xml:space="preserve">6.6.1 </w:t>
      </w:r>
      <w:r>
        <w:rPr>
          <w:rFonts w:hint="eastAsia" w:ascii="宋体" w:hAnsi="宋体" w:eastAsia="宋体" w:cs="宋体"/>
        </w:rPr>
        <w:t>市场基准价以绵阳市发展和改革委员会网站上公布的《绵阳城区主副食品民生价格信息行情》中七家农贸市场的平均价格为计算依据，如网站上无比选人所需的同类同质食材，双方对所供食材开展一次零售价抽样调查，以绵阳市涪城区、游仙区及江油市范围内不少于三家批发市场、大型商超的单个同类同质商品（不含活动期间优惠商品）的市场零售价的平均价为计算依据。</w:t>
      </w:r>
    </w:p>
    <w:p w14:paraId="23E54E51">
      <w:pPr>
        <w:spacing w:line="460" w:lineRule="exact"/>
        <w:ind w:firstLine="420" w:firstLineChars="200"/>
        <w:rPr>
          <w:rFonts w:ascii="宋体" w:hAnsi="宋体" w:eastAsia="宋体" w:cs="宋体"/>
        </w:rPr>
      </w:pPr>
      <w:r>
        <w:rPr>
          <w:rFonts w:ascii="宋体" w:hAnsi="宋体" w:eastAsia="宋体" w:cs="宋体"/>
        </w:rPr>
        <w:t xml:space="preserve">6.6.2 </w:t>
      </w:r>
      <w:r>
        <w:rPr>
          <w:rFonts w:hint="eastAsia" w:ascii="宋体" w:hAnsi="宋体" w:eastAsia="宋体" w:cs="宋体"/>
        </w:rPr>
        <w:t>市场基准价从合同签订之日起，每月抽样对比时以最近一次网站上公布的和市场调查的平均价格进行计算；每月结算时以最近四次网站上公布的和最近一次市场调查的平均价格进行计算；</w:t>
      </w:r>
    </w:p>
    <w:p w14:paraId="076322FB">
      <w:pPr>
        <w:spacing w:line="460" w:lineRule="exact"/>
        <w:ind w:firstLine="420" w:firstLineChars="200"/>
        <w:rPr>
          <w:rFonts w:ascii="宋体" w:hAnsi="宋体" w:eastAsia="宋体" w:cs="宋体"/>
        </w:rPr>
      </w:pPr>
      <w:r>
        <w:rPr>
          <w:rFonts w:hint="eastAsia" w:ascii="宋体" w:hAnsi="宋体" w:eastAsia="宋体" w:cs="宋体"/>
        </w:rPr>
        <w:t>6.</w:t>
      </w:r>
      <w:r>
        <w:rPr>
          <w:rFonts w:ascii="宋体" w:hAnsi="宋体" w:eastAsia="宋体" w:cs="宋体"/>
        </w:rPr>
        <w:t>7</w:t>
      </w:r>
      <w:r>
        <w:rPr>
          <w:rFonts w:hint="eastAsia" w:ascii="宋体" w:hAnsi="宋体" w:eastAsia="宋体" w:cs="宋体"/>
        </w:rPr>
        <w:t xml:space="preserve"> 甲方应按本合同规定及时付清货款。</w:t>
      </w:r>
    </w:p>
    <w:p w14:paraId="6FD03F7E">
      <w:pPr>
        <w:spacing w:line="460" w:lineRule="exact"/>
        <w:ind w:firstLine="422" w:firstLineChars="200"/>
        <w:rPr>
          <w:rFonts w:ascii="宋体" w:hAnsi="宋体" w:eastAsia="宋体" w:cs="宋体"/>
        </w:rPr>
      </w:pPr>
      <w:r>
        <w:rPr>
          <w:rFonts w:hint="eastAsia" w:ascii="宋体" w:hAnsi="宋体" w:eastAsia="宋体" w:cs="宋体"/>
          <w:b/>
          <w:bCs/>
        </w:rPr>
        <w:t>第七条 乙方的责任和权利</w:t>
      </w:r>
    </w:p>
    <w:p w14:paraId="232507DF">
      <w:pPr>
        <w:spacing w:line="460" w:lineRule="exact"/>
        <w:ind w:firstLine="420" w:firstLineChars="200"/>
        <w:rPr>
          <w:rFonts w:ascii="宋体" w:hAnsi="宋体" w:eastAsia="宋体" w:cs="宋体"/>
        </w:rPr>
      </w:pPr>
      <w:r>
        <w:rPr>
          <w:rFonts w:hint="eastAsia" w:ascii="宋体" w:hAnsi="宋体" w:eastAsia="宋体" w:cs="宋体"/>
        </w:rPr>
        <w:t>7.1 乙方所供应食材必须符合《食品安全法》等法律、法规的相关规定，有合法的相关产品合格证，严格按照服务承诺书执行。</w:t>
      </w:r>
    </w:p>
    <w:p w14:paraId="0F82071F">
      <w:pPr>
        <w:spacing w:line="460" w:lineRule="exact"/>
        <w:ind w:firstLine="420" w:firstLineChars="200"/>
        <w:rPr>
          <w:rFonts w:ascii="宋体" w:hAnsi="宋体" w:eastAsia="宋体" w:cs="宋体"/>
        </w:rPr>
      </w:pPr>
      <w:r>
        <w:rPr>
          <w:rFonts w:hint="eastAsia" w:ascii="宋体" w:hAnsi="宋体" w:eastAsia="宋体" w:cs="宋体"/>
        </w:rPr>
        <w:t>7.2 保证按甲方要求的食材的质量、数量，于当天早上8：00以前送达甲方指定的地点，超过一个小时扣除本次应付货款的40%，若送货当天没送，扣除本次全部应付货款，不送两次，甲方有权单方面解除合同，且要求乙方承担违约金5000元。</w:t>
      </w:r>
    </w:p>
    <w:p w14:paraId="26065A85">
      <w:pPr>
        <w:spacing w:line="460" w:lineRule="exact"/>
        <w:ind w:firstLine="420" w:firstLineChars="200"/>
        <w:rPr>
          <w:rFonts w:ascii="宋体" w:hAnsi="宋体" w:eastAsia="宋体" w:cs="宋体"/>
        </w:rPr>
      </w:pPr>
      <w:r>
        <w:rPr>
          <w:rFonts w:hint="eastAsia" w:ascii="宋体" w:hAnsi="宋体" w:eastAsia="宋体" w:cs="宋体"/>
        </w:rPr>
        <w:t>7.3 乙方认可并严格遵守甲方的货品验收制度及其他制度。</w:t>
      </w:r>
    </w:p>
    <w:p w14:paraId="5D0EAB83">
      <w:pPr>
        <w:spacing w:line="460" w:lineRule="exact"/>
        <w:ind w:firstLine="420" w:firstLineChars="200"/>
        <w:rPr>
          <w:rFonts w:ascii="宋体" w:hAnsi="宋体" w:eastAsia="宋体" w:cs="宋体"/>
        </w:rPr>
      </w:pPr>
      <w:r>
        <w:rPr>
          <w:rFonts w:hint="eastAsia" w:ascii="宋体" w:hAnsi="宋体" w:eastAsia="宋体" w:cs="宋体"/>
        </w:rPr>
        <w:t>7.4 乙方有权要求甲方提出准确、合理的采购计划，如因季节变化建议甲方修改采购计划。</w:t>
      </w:r>
    </w:p>
    <w:p w14:paraId="4E5FB2F4">
      <w:pPr>
        <w:spacing w:line="460" w:lineRule="exact"/>
        <w:ind w:firstLine="420" w:firstLineChars="200"/>
        <w:rPr>
          <w:rFonts w:ascii="宋体" w:hAnsi="宋体" w:eastAsia="宋体" w:cs="宋体"/>
        </w:rPr>
      </w:pPr>
      <w:r>
        <w:rPr>
          <w:rFonts w:hint="eastAsia" w:ascii="宋体" w:hAnsi="宋体" w:eastAsia="宋体" w:cs="宋体"/>
        </w:rPr>
        <w:t>7.5 乙方有权要求甲方按本协议约定的时间，足额支付货款。</w:t>
      </w:r>
    </w:p>
    <w:p w14:paraId="091DAA8D">
      <w:pPr>
        <w:spacing w:line="460" w:lineRule="exact"/>
        <w:ind w:firstLine="420" w:firstLineChars="200"/>
        <w:rPr>
          <w:rFonts w:ascii="宋体" w:hAnsi="宋体" w:eastAsia="宋体" w:cs="宋体"/>
        </w:rPr>
      </w:pPr>
      <w:r>
        <w:rPr>
          <w:rFonts w:hint="eastAsia" w:ascii="宋体" w:hAnsi="宋体" w:eastAsia="宋体" w:cs="宋体"/>
        </w:rPr>
        <w:t>7.6 乙方负责送货的工作人员应佩戴工作证、健康证，食材装具必须清洗消毒。</w:t>
      </w:r>
    </w:p>
    <w:p w14:paraId="2E34107C">
      <w:pPr>
        <w:pStyle w:val="2"/>
        <w:ind w:firstLine="420" w:firstLineChars="200"/>
        <w:rPr>
          <w:rFonts w:ascii="宋体" w:hAnsi="宋体" w:cs="宋体"/>
          <w:sz w:val="21"/>
        </w:rPr>
      </w:pPr>
      <w:r>
        <w:rPr>
          <w:rFonts w:hint="eastAsia" w:ascii="宋体" w:hAnsi="宋体" w:cs="宋体"/>
          <w:sz w:val="21"/>
        </w:rPr>
        <w:t>7</w:t>
      </w:r>
      <w:r>
        <w:rPr>
          <w:rFonts w:ascii="宋体" w:hAnsi="宋体" w:cs="宋体"/>
          <w:sz w:val="21"/>
        </w:rPr>
        <w:t xml:space="preserve">.7 </w:t>
      </w:r>
      <w:r>
        <w:rPr>
          <w:rFonts w:hint="eastAsia" w:ascii="宋体" w:hAnsi="宋体" w:cs="宋体"/>
          <w:sz w:val="21"/>
        </w:rPr>
        <w:t>合同履约期间，乙方为履行合同而雇佣的全部人员所发生的一切人身安全、安全责任事故、意外事故等，均由乙方自行负责处理并承担相关的全部费用。甲方对此不承担任何的责任和义务。</w:t>
      </w:r>
    </w:p>
    <w:p w14:paraId="19269A3E">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第八条 违约责任</w:t>
      </w:r>
    </w:p>
    <w:p w14:paraId="7ED40BA6">
      <w:pPr>
        <w:widowControl w:val="0"/>
        <w:spacing w:line="460" w:lineRule="exact"/>
        <w:ind w:firstLine="420" w:firstLineChars="200"/>
        <w:jc w:val="both"/>
        <w:rPr>
          <w:rFonts w:ascii="宋体" w:hAnsi="宋体" w:eastAsia="宋体" w:cs="宋体"/>
        </w:rPr>
      </w:pPr>
      <w:r>
        <w:rPr>
          <w:rFonts w:hint="eastAsia" w:ascii="宋体" w:hAnsi="宋体" w:eastAsia="宋体" w:cs="宋体"/>
        </w:rPr>
        <w:t>8.1 甲乙双方均应全面履行本合同约定，一方违约给另一方造成损失的，应当承担赔偿责任。</w:t>
      </w:r>
    </w:p>
    <w:p w14:paraId="759D3381">
      <w:pPr>
        <w:pStyle w:val="2"/>
        <w:spacing w:line="460" w:lineRule="exact"/>
        <w:ind w:firstLine="420" w:firstLineChars="200"/>
      </w:pPr>
      <w:r>
        <w:rPr>
          <w:rFonts w:hint="eastAsia" w:ascii="宋体" w:hAnsi="宋体" w:cs="宋体"/>
          <w:sz w:val="21"/>
        </w:rPr>
        <w:t>8.</w:t>
      </w:r>
      <w:r>
        <w:rPr>
          <w:rFonts w:ascii="宋体" w:hAnsi="宋体" w:cs="宋体"/>
          <w:sz w:val="21"/>
        </w:rPr>
        <w:t>2</w:t>
      </w:r>
      <w:r>
        <w:rPr>
          <w:rFonts w:hint="eastAsia" w:ascii="宋体" w:hAnsi="宋体" w:cs="宋体"/>
          <w:sz w:val="21"/>
        </w:rPr>
        <w:t xml:space="preserve"> 甲方</w:t>
      </w:r>
      <w:r>
        <w:rPr>
          <w:rFonts w:hint="eastAsia" w:ascii="宋体" w:hAnsi="宋体" w:cs="宋体"/>
          <w:color w:val="auto"/>
          <w:sz w:val="21"/>
        </w:rPr>
        <w:t>对食材价格进行抽量对比，如发现供应食材报价</w:t>
      </w:r>
      <w:r>
        <w:rPr>
          <w:rFonts w:hint="eastAsia"/>
          <w:sz w:val="21"/>
        </w:rPr>
        <w:t>超过抽样对比</w:t>
      </w:r>
      <w:r>
        <w:rPr>
          <w:rFonts w:hint="eastAsia" w:ascii="宋体" w:hAnsi="宋体" w:cs="宋体"/>
          <w:color w:val="auto"/>
          <w:sz w:val="21"/>
        </w:rPr>
        <w:t>价格的，将视为当月供货价格均</w:t>
      </w:r>
      <w:r>
        <w:rPr>
          <w:rFonts w:hint="eastAsia"/>
          <w:sz w:val="21"/>
        </w:rPr>
        <w:t>超过市场基准价</w:t>
      </w:r>
      <w:r>
        <w:rPr>
          <w:rFonts w:hint="eastAsia" w:ascii="宋体" w:hAnsi="宋体" w:cs="宋体"/>
          <w:color w:val="auto"/>
          <w:sz w:val="21"/>
        </w:rPr>
        <w:t>，则</w:t>
      </w:r>
      <w:r>
        <w:rPr>
          <w:rFonts w:hint="eastAsia" w:ascii="宋体" w:hAnsi="宋体" w:cs="宋体"/>
          <w:sz w:val="21"/>
        </w:rPr>
        <w:t>按当月供应食材结算总金额的3</w:t>
      </w:r>
      <w:r>
        <w:rPr>
          <w:rFonts w:ascii="宋体" w:hAnsi="宋体" w:cs="宋体"/>
          <w:sz w:val="21"/>
        </w:rPr>
        <w:t>0</w:t>
      </w:r>
      <w:r>
        <w:rPr>
          <w:rFonts w:hint="eastAsia" w:ascii="宋体" w:hAnsi="宋体" w:cs="宋体"/>
          <w:color w:val="auto"/>
          <w:sz w:val="21"/>
        </w:rPr>
        <w:t>%</w:t>
      </w:r>
      <w:r>
        <w:rPr>
          <w:rFonts w:hint="eastAsia" w:ascii="宋体" w:hAnsi="宋体" w:cs="宋体"/>
          <w:sz w:val="21"/>
        </w:rPr>
        <w:t>支付违约金</w:t>
      </w:r>
      <w:r>
        <w:rPr>
          <w:rFonts w:hint="eastAsia" w:ascii="宋体" w:hAnsi="宋体" w:cs="宋体"/>
          <w:color w:val="auto"/>
          <w:sz w:val="21"/>
        </w:rPr>
        <w:t>。</w:t>
      </w:r>
    </w:p>
    <w:p w14:paraId="0AFE26D9">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3</w:t>
      </w:r>
      <w:r>
        <w:rPr>
          <w:rFonts w:hint="eastAsia" w:ascii="宋体" w:hAnsi="宋体" w:eastAsia="宋体" w:cs="宋体"/>
        </w:rPr>
        <w:t xml:space="preserve"> 如甲方未按合同约定时间支付货款,超出时间甲方每日按欠款总额的2‰支付违约金，延迟15日以上的，除支付违约金外，乙方有权解除合同。</w:t>
      </w:r>
    </w:p>
    <w:p w14:paraId="0F6FFFC8">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4</w:t>
      </w:r>
      <w:r>
        <w:rPr>
          <w:rFonts w:hint="eastAsia" w:ascii="宋体" w:hAnsi="宋体" w:eastAsia="宋体" w:cs="宋体"/>
        </w:rPr>
        <w:t xml:space="preserve"> 如甲方未能履行合同条款，乙方有权拒绝供货。如乙方未全面履行条款的，甲方有权解除合同，同时乙方应向甲方支付合同总价款10%的违约金。</w:t>
      </w:r>
    </w:p>
    <w:p w14:paraId="6743A695">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5</w:t>
      </w:r>
      <w:r>
        <w:rPr>
          <w:rFonts w:hint="eastAsia" w:ascii="宋体" w:hAnsi="宋体" w:eastAsia="宋体" w:cs="宋体"/>
        </w:rPr>
        <w:t xml:space="preserve"> 乙方对其提供的产品质量承担保证责任，因乙方提供的产品造成的一切事故及责任由乙方承担，对甲方造成损失的，乙方应当予以赔偿。</w:t>
      </w:r>
    </w:p>
    <w:p w14:paraId="4E963DFA">
      <w:pPr>
        <w:widowControl w:val="0"/>
        <w:spacing w:line="460" w:lineRule="exact"/>
        <w:ind w:firstLine="420"/>
        <w:jc w:val="both"/>
        <w:rPr>
          <w:rFonts w:hint="eastAsia" w:ascii="宋体" w:hAnsi="宋体" w:eastAsia="宋体" w:cs="宋体"/>
        </w:rPr>
      </w:pPr>
      <w:r>
        <w:rPr>
          <w:rFonts w:hint="eastAsia" w:ascii="宋体" w:hAnsi="宋体" w:eastAsia="宋体" w:cs="宋体"/>
        </w:rPr>
        <w:t>8.</w:t>
      </w:r>
      <w:r>
        <w:rPr>
          <w:rFonts w:ascii="宋体" w:hAnsi="宋体" w:eastAsia="宋体" w:cs="宋体"/>
        </w:rPr>
        <w:t>6</w:t>
      </w:r>
      <w:r>
        <w:rPr>
          <w:rFonts w:hint="eastAsia" w:ascii="宋体" w:hAnsi="宋体" w:eastAsia="宋体" w:cs="宋体"/>
        </w:rPr>
        <w:t xml:space="preserve"> 上述损失包括但不限于乙方为实现权益所产生的诉讼费、保全费、保全保险费、公证费、鉴定费、律师费、诉讼费等。</w:t>
      </w:r>
    </w:p>
    <w:p w14:paraId="24CEB70F">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第九条 协议的变更或解除</w:t>
      </w:r>
    </w:p>
    <w:p w14:paraId="1469BA93">
      <w:pPr>
        <w:widowControl w:val="0"/>
        <w:spacing w:line="460" w:lineRule="exact"/>
        <w:ind w:firstLine="420" w:firstLineChars="200"/>
        <w:jc w:val="both"/>
        <w:rPr>
          <w:rFonts w:ascii="宋体" w:hAnsi="宋体" w:eastAsia="宋体" w:cs="宋体"/>
        </w:rPr>
      </w:pPr>
      <w:r>
        <w:rPr>
          <w:rFonts w:hint="eastAsia" w:ascii="宋体" w:hAnsi="宋体" w:eastAsia="宋体" w:cs="宋体"/>
        </w:rPr>
        <w:t>9.1 除甲乙双方达成解除协议或本协议约定的解除条件成就，甲乙任何一方不得擅自解除本协议。</w:t>
      </w:r>
    </w:p>
    <w:p w14:paraId="0AC19988">
      <w:pPr>
        <w:widowControl w:val="0"/>
        <w:spacing w:line="460" w:lineRule="exact"/>
        <w:ind w:firstLine="420" w:firstLineChars="200"/>
        <w:jc w:val="both"/>
        <w:rPr>
          <w:rFonts w:ascii="宋体" w:hAnsi="宋体" w:eastAsia="宋体" w:cs="宋体"/>
        </w:rPr>
      </w:pPr>
      <w:r>
        <w:rPr>
          <w:rFonts w:hint="eastAsia" w:ascii="宋体" w:hAnsi="宋体" w:eastAsia="宋体" w:cs="宋体"/>
        </w:rPr>
        <w:t>9.2 本协议任何一方，需要变更本协议时，均应及时书面通知对方，并经协议各方协商一致，就变更事项达成书面协议。</w:t>
      </w:r>
    </w:p>
    <w:p w14:paraId="72BDB343">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第十条 争议的解决</w:t>
      </w:r>
    </w:p>
    <w:p w14:paraId="3555346A">
      <w:pPr>
        <w:widowControl w:val="0"/>
        <w:spacing w:line="460" w:lineRule="exact"/>
        <w:ind w:firstLine="420" w:firstLineChars="200"/>
        <w:jc w:val="both"/>
        <w:rPr>
          <w:rFonts w:ascii="宋体" w:hAnsi="宋体" w:eastAsia="宋体" w:cs="宋体"/>
        </w:rPr>
      </w:pPr>
      <w:r>
        <w:rPr>
          <w:rFonts w:hint="eastAsia" w:ascii="宋体" w:hAnsi="宋体" w:eastAsia="宋体" w:cs="宋体"/>
        </w:rPr>
        <w:t>在执行本协议书中所发生的一切争议，双方应友好协商解决，如协商不能解决，任何一方可向甲方所在地有管辖权的人民法院提起诉讼。</w:t>
      </w:r>
    </w:p>
    <w:p w14:paraId="0C287FBD">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第十一条 送达</w:t>
      </w:r>
    </w:p>
    <w:p w14:paraId="0BA49968">
      <w:pPr>
        <w:widowControl w:val="0"/>
        <w:spacing w:line="460" w:lineRule="exact"/>
        <w:ind w:firstLine="420" w:firstLineChars="200"/>
        <w:jc w:val="both"/>
        <w:rPr>
          <w:rFonts w:ascii="宋体" w:hAnsi="宋体" w:eastAsia="宋体" w:cs="宋体"/>
        </w:rPr>
      </w:pPr>
      <w:r>
        <w:rPr>
          <w:rFonts w:hint="eastAsia" w:ascii="宋体" w:hAnsi="宋体" w:eastAsia="宋体" w:cs="宋体"/>
        </w:rPr>
        <w:t>甲方与乙方同意:本合同项下，一方给另一方的全部通知均应当按照双方在本合同中载明的联系方式送达。如将来发生诉讼，人民法院可按照以下联系方式送达，如一方在本合同中载明的联系方式发生变更，应提前3个工作日提前通知对方，否则，本合同另一方、与合同相关的行政部门、公司、组织及人民法院按照本合同中载明的方式通知或送达的，视为有效送达。</w:t>
      </w:r>
    </w:p>
    <w:p w14:paraId="7D29DC06">
      <w:pPr>
        <w:spacing w:line="460" w:lineRule="exact"/>
        <w:ind w:firstLine="422" w:firstLineChars="200"/>
        <w:rPr>
          <w:rFonts w:ascii="宋体" w:hAnsi="宋体" w:eastAsia="宋体" w:cs="宋体"/>
          <w:b/>
          <w:bCs/>
        </w:rPr>
      </w:pPr>
      <w:r>
        <w:rPr>
          <w:rFonts w:hint="eastAsia" w:ascii="宋体" w:hAnsi="宋体" w:eastAsia="宋体" w:cs="宋体"/>
          <w:b/>
          <w:bCs/>
        </w:rPr>
        <w:t>第十二条 未尽事宜处理</w:t>
      </w:r>
    </w:p>
    <w:p w14:paraId="74DF2358">
      <w:pPr>
        <w:spacing w:line="460" w:lineRule="exact"/>
        <w:ind w:firstLine="420" w:firstLineChars="200"/>
        <w:rPr>
          <w:rFonts w:ascii="宋体" w:hAnsi="宋体" w:eastAsia="宋体" w:cs="宋体"/>
        </w:rPr>
      </w:pPr>
      <w:r>
        <w:rPr>
          <w:rFonts w:hint="eastAsia" w:ascii="宋体" w:hAnsi="宋体" w:eastAsia="宋体" w:cs="宋体"/>
        </w:rPr>
        <w:t>本协议未尽事宜，甲乙双方协商处理。甲乙双方可就未尽事宜签订补充协议，补充协议具有同等法律效益。</w:t>
      </w:r>
    </w:p>
    <w:p w14:paraId="4932EFD9">
      <w:pPr>
        <w:spacing w:line="460" w:lineRule="exact"/>
        <w:ind w:firstLine="422" w:firstLineChars="200"/>
        <w:rPr>
          <w:rFonts w:ascii="宋体" w:hAnsi="宋体" w:eastAsia="宋体" w:cs="宋体"/>
        </w:rPr>
      </w:pPr>
      <w:r>
        <w:rPr>
          <w:rFonts w:hint="eastAsia" w:ascii="宋体" w:hAnsi="宋体" w:eastAsia="宋体" w:cs="宋体"/>
          <w:b/>
          <w:bCs/>
        </w:rPr>
        <w:t xml:space="preserve">第十三条 </w:t>
      </w:r>
      <w:r>
        <w:rPr>
          <w:rFonts w:hint="eastAsia" w:ascii="宋体" w:hAnsi="宋体" w:eastAsia="宋体" w:cs="宋体"/>
        </w:rPr>
        <w:t>本协议经甲、乙双方</w:t>
      </w:r>
      <w:r>
        <w:rPr>
          <w:rFonts w:hint="eastAsia" w:ascii="宋体" w:hAnsi="宋体" w:eastAsia="宋体" w:cs="宋体"/>
          <w:lang w:val="zh-TW" w:eastAsia="zh-TW"/>
        </w:rPr>
        <w:t>双方法定代表人或授权代表</w:t>
      </w:r>
      <w:r>
        <w:rPr>
          <w:rFonts w:hint="eastAsia" w:ascii="宋体" w:hAnsi="宋体" w:eastAsia="宋体" w:cs="宋体"/>
        </w:rPr>
        <w:t>签章盖章生效，本协议一式陆份，甲、乙双方各执叁份，每份具有同等法律效力。</w:t>
      </w:r>
    </w:p>
    <w:p w14:paraId="438D8FA6">
      <w:pPr>
        <w:pStyle w:val="2"/>
      </w:pPr>
    </w:p>
    <w:p w14:paraId="1B929408">
      <w:pPr>
        <w:spacing w:line="460" w:lineRule="exact"/>
        <w:rPr>
          <w:rFonts w:eastAsiaTheme="minorEastAsia"/>
        </w:rPr>
      </w:pPr>
      <w:r>
        <w:rPr>
          <w:rFonts w:eastAsiaTheme="minorEastAsia"/>
        </w:rPr>
        <w:t>甲方</w:t>
      </w:r>
      <w:r>
        <w:rPr>
          <w:rFonts w:hint="eastAsia" w:eastAsiaTheme="minorEastAsia"/>
        </w:rPr>
        <w:t xml:space="preserve">： </w:t>
      </w:r>
      <w:r>
        <w:rPr>
          <w:rFonts w:eastAsiaTheme="minorEastAsia"/>
        </w:rPr>
        <w:t xml:space="preserve">                                     乙方：</w:t>
      </w:r>
    </w:p>
    <w:p w14:paraId="41CF74A0">
      <w:pPr>
        <w:spacing w:line="460" w:lineRule="exact"/>
        <w:rPr>
          <w:rFonts w:eastAsiaTheme="minorEastAsia"/>
        </w:rPr>
      </w:pPr>
      <w:r>
        <w:rPr>
          <w:rFonts w:eastAsiaTheme="minorEastAsia"/>
        </w:rPr>
        <w:t>法定代表人：</w:t>
      </w:r>
      <w:r>
        <w:rPr>
          <w:rFonts w:hint="eastAsia" w:eastAsiaTheme="minorEastAsia"/>
        </w:rPr>
        <w:t xml:space="preserve"> </w:t>
      </w:r>
      <w:r>
        <w:rPr>
          <w:rFonts w:eastAsiaTheme="minorEastAsia"/>
        </w:rPr>
        <w:t xml:space="preserve">                               法定代表人：</w:t>
      </w:r>
    </w:p>
    <w:p w14:paraId="112B39CE">
      <w:pPr>
        <w:spacing w:line="460" w:lineRule="exact"/>
        <w:rPr>
          <w:rFonts w:eastAsiaTheme="minorEastAsia"/>
        </w:rPr>
      </w:pPr>
      <w:r>
        <w:rPr>
          <w:rFonts w:eastAsiaTheme="minorEastAsia"/>
        </w:rPr>
        <w:t>或其授权代理人：</w:t>
      </w:r>
      <w:r>
        <w:rPr>
          <w:rFonts w:hint="eastAsia" w:eastAsiaTheme="minorEastAsia"/>
        </w:rPr>
        <w:t xml:space="preserve"> </w:t>
      </w:r>
      <w:r>
        <w:rPr>
          <w:rFonts w:eastAsiaTheme="minorEastAsia"/>
        </w:rPr>
        <w:t xml:space="preserve">                           或其授权代理人：</w:t>
      </w:r>
    </w:p>
    <w:p w14:paraId="5EBEE0E7">
      <w:pPr>
        <w:spacing w:line="460" w:lineRule="exact"/>
        <w:rPr>
          <w:rFonts w:eastAsiaTheme="minorEastAsia"/>
        </w:rPr>
      </w:pPr>
      <w:r>
        <w:rPr>
          <w:rFonts w:hint="eastAsia" w:eastAsiaTheme="minorEastAsia"/>
        </w:rPr>
        <w:t xml:space="preserve">联系人电话： </w:t>
      </w:r>
      <w:r>
        <w:rPr>
          <w:rFonts w:eastAsiaTheme="minorEastAsia"/>
        </w:rPr>
        <w:t xml:space="preserve">                               </w:t>
      </w:r>
      <w:r>
        <w:rPr>
          <w:rFonts w:hint="eastAsia" w:eastAsiaTheme="minorEastAsia"/>
        </w:rPr>
        <w:t>联系人电话：</w:t>
      </w:r>
    </w:p>
    <w:p w14:paraId="33C84F00">
      <w:pPr>
        <w:spacing w:line="460" w:lineRule="exact"/>
      </w:pPr>
      <w:r>
        <w:rPr>
          <w:rFonts w:hint="eastAsia" w:eastAsiaTheme="minorEastAsia"/>
        </w:rPr>
        <w:t xml:space="preserve">日期： </w:t>
      </w:r>
      <w:r>
        <w:rPr>
          <w:rFonts w:eastAsiaTheme="minorEastAsia"/>
        </w:rPr>
        <w:t xml:space="preserve">   年</w:t>
      </w:r>
      <w:r>
        <w:rPr>
          <w:rFonts w:hint="eastAsia" w:eastAsiaTheme="minorEastAsia"/>
        </w:rPr>
        <w:t xml:space="preserve"> </w:t>
      </w:r>
      <w:r>
        <w:rPr>
          <w:rFonts w:eastAsiaTheme="minorEastAsia"/>
        </w:rPr>
        <w:t xml:space="preserve">   月</w:t>
      </w:r>
      <w:r>
        <w:rPr>
          <w:rFonts w:hint="eastAsia" w:eastAsiaTheme="minorEastAsia"/>
        </w:rPr>
        <w:t xml:space="preserve"> </w:t>
      </w:r>
      <w:r>
        <w:rPr>
          <w:rFonts w:eastAsiaTheme="minorEastAsia"/>
        </w:rPr>
        <w:t xml:space="preserve">   日</w:t>
      </w:r>
      <w:r>
        <w:rPr>
          <w:rFonts w:hint="eastAsia" w:eastAsiaTheme="minorEastAsia"/>
        </w:rPr>
        <w:t xml:space="preserve"> </w:t>
      </w:r>
      <w:r>
        <w:rPr>
          <w:rFonts w:eastAsiaTheme="minorEastAsia"/>
        </w:rPr>
        <w:t xml:space="preserve">                   </w:t>
      </w:r>
      <w:r>
        <w:rPr>
          <w:rFonts w:hint="eastAsia" w:eastAsiaTheme="minorEastAsia"/>
        </w:rPr>
        <w:t xml:space="preserve">日期： </w:t>
      </w:r>
      <w:r>
        <w:rPr>
          <w:rFonts w:eastAsiaTheme="minorEastAsia"/>
        </w:rPr>
        <w:t xml:space="preserve">   年</w:t>
      </w:r>
      <w:r>
        <w:rPr>
          <w:rFonts w:hint="eastAsia" w:eastAsiaTheme="minorEastAsia"/>
        </w:rPr>
        <w:t xml:space="preserve"> </w:t>
      </w:r>
      <w:r>
        <w:rPr>
          <w:rFonts w:eastAsiaTheme="minorEastAsia"/>
        </w:rPr>
        <w:t xml:space="preserve">   月</w:t>
      </w:r>
      <w:r>
        <w:rPr>
          <w:rFonts w:hint="eastAsia" w:eastAsiaTheme="minorEastAsia"/>
        </w:rPr>
        <w:t xml:space="preserve"> </w:t>
      </w:r>
      <w:r>
        <w:rPr>
          <w:rFonts w:eastAsiaTheme="minorEastAsia"/>
        </w:rPr>
        <w:t xml:space="preserve">   日</w:t>
      </w:r>
    </w:p>
    <w:p w14:paraId="2939E3FE">
      <w:pPr>
        <w:rPr>
          <w:rFonts w:eastAsiaTheme="minorEastAsia"/>
        </w:rPr>
      </w:pPr>
      <w:bookmarkStart w:id="43" w:name="_Toc123"/>
    </w:p>
    <w:p w14:paraId="4C956C03">
      <w:pPr>
        <w:pStyle w:val="2"/>
      </w:pPr>
    </w:p>
    <w:p w14:paraId="0C1893D9">
      <w:pPr>
        <w:rPr>
          <w:rFonts w:eastAsiaTheme="minorEastAsia"/>
        </w:rPr>
      </w:pPr>
    </w:p>
    <w:p w14:paraId="52DA8AB4">
      <w:pPr>
        <w:pStyle w:val="2"/>
      </w:pPr>
    </w:p>
    <w:p w14:paraId="71F2364A">
      <w:pPr>
        <w:pStyle w:val="56"/>
        <w:tabs>
          <w:tab w:val="left" w:pos="1611"/>
        </w:tabs>
        <w:spacing w:line="600" w:lineRule="exact"/>
        <w:ind w:firstLine="0" w:firstLineChars="0"/>
        <w:rPr>
          <w:rFonts w:ascii="仿宋" w:hAnsi="仿宋" w:eastAsia="仿宋" w:cs="仿宋"/>
          <w:kern w:val="2"/>
          <w:sz w:val="24"/>
          <w:szCs w:val="24"/>
        </w:rPr>
      </w:pPr>
    </w:p>
    <w:p w14:paraId="3629148B">
      <w:pPr>
        <w:pStyle w:val="56"/>
        <w:tabs>
          <w:tab w:val="left" w:pos="1611"/>
        </w:tabs>
        <w:spacing w:line="600" w:lineRule="exact"/>
        <w:ind w:firstLine="0" w:firstLineChars="0"/>
        <w:rPr>
          <w:rFonts w:ascii="仿宋" w:hAnsi="仿宋" w:eastAsia="仿宋" w:cs="仿宋"/>
          <w:kern w:val="2"/>
          <w:sz w:val="24"/>
          <w:szCs w:val="24"/>
        </w:rPr>
      </w:pPr>
    </w:p>
    <w:p w14:paraId="24EDAA5D">
      <w:pPr>
        <w:pStyle w:val="56"/>
        <w:tabs>
          <w:tab w:val="left" w:pos="1611"/>
        </w:tabs>
        <w:spacing w:line="600" w:lineRule="exact"/>
        <w:ind w:firstLine="0" w:firstLineChars="0"/>
        <w:rPr>
          <w:rFonts w:ascii="仿宋" w:hAnsi="仿宋" w:eastAsia="仿宋" w:cs="仿宋"/>
          <w:kern w:val="2"/>
          <w:sz w:val="24"/>
          <w:szCs w:val="24"/>
        </w:rPr>
      </w:pPr>
    </w:p>
    <w:p w14:paraId="38BAAB36">
      <w:pPr>
        <w:pStyle w:val="56"/>
        <w:tabs>
          <w:tab w:val="left" w:pos="1611"/>
        </w:tabs>
        <w:spacing w:line="600" w:lineRule="exact"/>
        <w:ind w:firstLine="0" w:firstLineChars="0"/>
        <w:rPr>
          <w:rFonts w:ascii="仿宋" w:hAnsi="仿宋" w:eastAsia="仿宋" w:cs="仿宋"/>
          <w:kern w:val="2"/>
          <w:sz w:val="24"/>
          <w:szCs w:val="24"/>
        </w:rPr>
      </w:pPr>
    </w:p>
    <w:p w14:paraId="4693AA45">
      <w:pPr>
        <w:pStyle w:val="56"/>
        <w:tabs>
          <w:tab w:val="left" w:pos="1611"/>
        </w:tabs>
        <w:spacing w:line="600" w:lineRule="exact"/>
        <w:ind w:firstLine="0" w:firstLineChars="0"/>
        <w:rPr>
          <w:rFonts w:ascii="仿宋" w:hAnsi="仿宋" w:eastAsia="仿宋" w:cs="仿宋"/>
          <w:kern w:val="2"/>
          <w:sz w:val="24"/>
          <w:szCs w:val="24"/>
        </w:rPr>
      </w:pPr>
    </w:p>
    <w:p w14:paraId="49E40DD3">
      <w:pPr>
        <w:spacing w:before="96" w:line="219" w:lineRule="auto"/>
        <w:jc w:val="center"/>
        <w:outlineLvl w:val="0"/>
        <w:rPr>
          <w:rFonts w:ascii="黑体" w:hAnsi="黑体" w:eastAsia="黑体" w:cs="黑体"/>
          <w:spacing w:val="10"/>
          <w:sz w:val="44"/>
          <w:szCs w:val="44"/>
        </w:rPr>
      </w:pPr>
      <w:bookmarkStart w:id="44" w:name="_Toc18048"/>
      <w:r>
        <w:rPr>
          <w:rFonts w:hint="eastAsia" w:ascii="黑体" w:hAnsi="黑体" w:eastAsia="黑体" w:cs="黑体"/>
          <w:spacing w:val="10"/>
          <w:sz w:val="44"/>
          <w:szCs w:val="44"/>
        </w:rPr>
        <w:t xml:space="preserve">第五章 </w:t>
      </w:r>
      <w:bookmarkEnd w:id="44"/>
      <w:r>
        <w:rPr>
          <w:rFonts w:hint="eastAsia" w:ascii="黑体" w:hAnsi="黑体" w:eastAsia="黑体" w:cs="黑体"/>
          <w:spacing w:val="10"/>
          <w:sz w:val="44"/>
          <w:szCs w:val="44"/>
        </w:rPr>
        <w:t>委托人要求</w:t>
      </w:r>
    </w:p>
    <w:p w14:paraId="49815D37">
      <w:pPr>
        <w:spacing w:line="219" w:lineRule="auto"/>
        <w:rPr>
          <w:rFonts w:ascii="宋体" w:hAnsi="宋体" w:eastAsia="宋体" w:cs="宋体"/>
          <w:sz w:val="50"/>
          <w:szCs w:val="50"/>
        </w:rPr>
      </w:pPr>
    </w:p>
    <w:p w14:paraId="052D97FC">
      <w:pPr>
        <w:pStyle w:val="8"/>
        <w:rPr>
          <w:rFonts w:cs="宋体"/>
          <w:sz w:val="50"/>
          <w:szCs w:val="50"/>
        </w:rPr>
      </w:pPr>
    </w:p>
    <w:p w14:paraId="66AFBF32">
      <w:pPr>
        <w:rPr>
          <w:rFonts w:ascii="宋体" w:hAnsi="宋体" w:eastAsia="宋体" w:cs="宋体"/>
          <w:sz w:val="50"/>
          <w:szCs w:val="50"/>
        </w:rPr>
      </w:pPr>
    </w:p>
    <w:p w14:paraId="07D01E9D">
      <w:pPr>
        <w:pStyle w:val="8"/>
        <w:rPr>
          <w:rFonts w:cs="宋体"/>
          <w:sz w:val="50"/>
          <w:szCs w:val="50"/>
        </w:rPr>
      </w:pPr>
    </w:p>
    <w:p w14:paraId="6004F4B7">
      <w:pPr>
        <w:rPr>
          <w:rFonts w:ascii="宋体" w:hAnsi="宋体" w:eastAsia="宋体" w:cs="宋体"/>
          <w:sz w:val="50"/>
          <w:szCs w:val="50"/>
        </w:rPr>
      </w:pPr>
    </w:p>
    <w:p w14:paraId="7036E586">
      <w:pPr>
        <w:spacing w:line="480" w:lineRule="exact"/>
        <w:ind w:left="3774"/>
        <w:rPr>
          <w:rFonts w:ascii="宋体" w:hAnsi="宋体" w:eastAsia="宋体" w:cs="宋体"/>
          <w:b/>
          <w:bCs/>
          <w:spacing w:val="-6"/>
          <w:sz w:val="32"/>
          <w:szCs w:val="32"/>
        </w:rPr>
      </w:pPr>
    </w:p>
    <w:p w14:paraId="2392F86C">
      <w:pPr>
        <w:spacing w:line="480" w:lineRule="exact"/>
        <w:ind w:left="3774"/>
        <w:rPr>
          <w:rFonts w:ascii="宋体" w:hAnsi="宋体" w:eastAsia="宋体" w:cs="宋体"/>
          <w:b/>
          <w:bCs/>
          <w:spacing w:val="-6"/>
          <w:sz w:val="32"/>
          <w:szCs w:val="32"/>
        </w:rPr>
      </w:pPr>
    </w:p>
    <w:p w14:paraId="73D078D8">
      <w:pPr>
        <w:spacing w:line="480" w:lineRule="exact"/>
        <w:ind w:left="3774"/>
        <w:rPr>
          <w:rFonts w:ascii="宋体" w:hAnsi="宋体" w:eastAsia="宋体" w:cs="宋体"/>
          <w:b/>
          <w:bCs/>
          <w:spacing w:val="-6"/>
          <w:sz w:val="32"/>
          <w:szCs w:val="32"/>
        </w:rPr>
      </w:pPr>
    </w:p>
    <w:p w14:paraId="05583382">
      <w:pPr>
        <w:spacing w:line="480" w:lineRule="exact"/>
        <w:ind w:left="3774"/>
        <w:rPr>
          <w:rFonts w:ascii="宋体" w:hAnsi="宋体" w:eastAsia="宋体" w:cs="宋体"/>
          <w:b/>
          <w:bCs/>
          <w:spacing w:val="-6"/>
          <w:sz w:val="32"/>
          <w:szCs w:val="32"/>
        </w:rPr>
      </w:pPr>
    </w:p>
    <w:p w14:paraId="2A90C169">
      <w:pPr>
        <w:spacing w:line="480" w:lineRule="exact"/>
        <w:ind w:left="3774"/>
        <w:rPr>
          <w:rFonts w:ascii="宋体" w:hAnsi="宋体" w:eastAsia="宋体" w:cs="宋体"/>
          <w:b/>
          <w:bCs/>
          <w:spacing w:val="-6"/>
          <w:sz w:val="32"/>
          <w:szCs w:val="32"/>
        </w:rPr>
      </w:pPr>
    </w:p>
    <w:p w14:paraId="7FA242B1">
      <w:pPr>
        <w:pStyle w:val="8"/>
        <w:rPr>
          <w:rFonts w:cs="宋体"/>
          <w:b/>
          <w:bCs/>
          <w:spacing w:val="-6"/>
          <w:sz w:val="32"/>
          <w:szCs w:val="32"/>
        </w:rPr>
      </w:pPr>
    </w:p>
    <w:p w14:paraId="094980C5">
      <w:pPr>
        <w:rPr>
          <w:rFonts w:ascii="宋体" w:hAnsi="宋体" w:eastAsia="宋体" w:cs="宋体"/>
          <w:b/>
          <w:bCs/>
          <w:spacing w:val="-6"/>
          <w:sz w:val="32"/>
          <w:szCs w:val="32"/>
        </w:rPr>
      </w:pPr>
    </w:p>
    <w:p w14:paraId="658A042B">
      <w:pPr>
        <w:pStyle w:val="8"/>
        <w:rPr>
          <w:rFonts w:cs="宋体"/>
          <w:b/>
          <w:bCs/>
          <w:spacing w:val="-6"/>
          <w:sz w:val="32"/>
          <w:szCs w:val="32"/>
        </w:rPr>
      </w:pPr>
    </w:p>
    <w:p w14:paraId="1F5DB094">
      <w:pPr>
        <w:rPr>
          <w:rFonts w:ascii="宋体" w:hAnsi="宋体" w:eastAsia="宋体" w:cs="宋体"/>
          <w:b/>
          <w:bCs/>
          <w:spacing w:val="-6"/>
          <w:sz w:val="32"/>
          <w:szCs w:val="32"/>
        </w:rPr>
      </w:pPr>
    </w:p>
    <w:p w14:paraId="79FB1561">
      <w:pPr>
        <w:pStyle w:val="8"/>
        <w:rPr>
          <w:rFonts w:cs="宋体"/>
          <w:b/>
          <w:bCs/>
          <w:spacing w:val="-6"/>
          <w:sz w:val="32"/>
          <w:szCs w:val="32"/>
        </w:rPr>
      </w:pPr>
    </w:p>
    <w:p w14:paraId="42C81A58">
      <w:pPr>
        <w:rPr>
          <w:rFonts w:ascii="宋体" w:hAnsi="宋体" w:eastAsia="宋体" w:cs="宋体"/>
          <w:b/>
          <w:bCs/>
          <w:spacing w:val="-6"/>
          <w:sz w:val="32"/>
          <w:szCs w:val="32"/>
        </w:rPr>
      </w:pPr>
    </w:p>
    <w:p w14:paraId="73DF4507">
      <w:pPr>
        <w:pStyle w:val="8"/>
      </w:pPr>
    </w:p>
    <w:p w14:paraId="7926C4BE">
      <w:pPr>
        <w:spacing w:line="480" w:lineRule="exact"/>
        <w:ind w:firstLine="386" w:firstLineChars="200"/>
        <w:rPr>
          <w:rFonts w:ascii="宋体" w:hAnsi="宋体" w:eastAsia="宋体" w:cs="宋体"/>
        </w:rPr>
      </w:pPr>
      <w:r>
        <w:rPr>
          <w:rFonts w:hint="eastAsia" w:ascii="宋体" w:hAnsi="宋体" w:eastAsia="宋体" w:cs="宋体"/>
          <w:b/>
          <w:bCs/>
          <w:spacing w:val="-9"/>
        </w:rPr>
        <w:t>一</w:t>
      </w:r>
      <w:r>
        <w:rPr>
          <w:rFonts w:hint="eastAsia" w:ascii="宋体" w:hAnsi="宋体" w:eastAsia="宋体" w:cs="宋体"/>
          <w:spacing w:val="-43"/>
        </w:rPr>
        <w:t xml:space="preserve"> </w:t>
      </w:r>
      <w:r>
        <w:rPr>
          <w:rFonts w:hint="eastAsia" w:ascii="宋体" w:hAnsi="宋体" w:eastAsia="宋体" w:cs="宋体"/>
          <w:b/>
          <w:bCs/>
          <w:spacing w:val="-9"/>
        </w:rPr>
        <w:t>、项目概况</w:t>
      </w:r>
    </w:p>
    <w:p w14:paraId="201A6EDB">
      <w:pPr>
        <w:spacing w:line="480" w:lineRule="exact"/>
        <w:ind w:right="92" w:firstLine="424" w:firstLineChars="200"/>
        <w:jc w:val="both"/>
        <w:rPr>
          <w:rFonts w:ascii="宋体" w:hAnsi="宋体" w:eastAsia="宋体" w:cs="宋体"/>
        </w:rPr>
      </w:pPr>
      <w:r>
        <w:rPr>
          <w:rFonts w:hint="eastAsia" w:ascii="宋体" w:hAnsi="宋体" w:eastAsia="宋体" w:cs="宋体"/>
          <w:spacing w:val="1"/>
        </w:rPr>
        <w:t>为了有效提升管理处沿线职工食堂服务质量，更好地服务于职工的工作生活，现按比选选择一家食堂食材、食品、耗材等配送比选申请人。主要内容包括但不限于：水果、粮油调味、肉禽蛋品、海鲜水产、蔬菜豆制品、干杂副食类、调味品、乳品烘焙、日用杂品等，实际以需方根据当季食材及需方通知为准。</w:t>
      </w:r>
    </w:p>
    <w:p w14:paraId="45BC75B2">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二、采购产品质量及要求</w:t>
      </w:r>
    </w:p>
    <w:p w14:paraId="31B3C824">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（一）总体要求</w:t>
      </w:r>
    </w:p>
    <w:p w14:paraId="6FD293C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本项目所有由比选申请人配送的食品食材必须符合《中华人民共和国食品安全法》、国家相关标准、强制性规定要求及国家、当地最新卫生、食品部门颁发的相关标准。并在配送时按要求提供产品所涉及的相关国家强制规定材料。比选申请人所配送产品达到相关食品卫生安全规定，国家有出台新的更高标准的，以新的更高标准为准，保证所配送产品配送到比选人时的质量、卫生和安全。</w:t>
      </w:r>
    </w:p>
    <w:p w14:paraId="4BC2393F">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2、检测报告要求</w:t>
      </w:r>
    </w:p>
    <w:p w14:paraId="303C1EA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（1）日常检测报告：预包装食品须提供每批次的出厂检测报告；非预包装食品须提供每日的自检报告。</w:t>
      </w:r>
    </w:p>
    <w:p w14:paraId="52AA723E">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（2）第三方农产品有害物质检测报告：须每半年提供一次，检测项目包括但不限于重金属、农药残留兽药残留、挥发性盐基氮、呕吐毒素等。（具体检测项目，比选人会提前告知）</w:t>
      </w:r>
    </w:p>
    <w:p w14:paraId="102AC89C">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（二）技术内容及要求</w:t>
      </w:r>
    </w:p>
    <w:p w14:paraId="6A2562A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1、比选申请人应按照比选人需求等级进行配送，包括当天屠宰的鲜肉或冷鲜肉（含畜肉类、禽肉类等），鱼、海带等水产类，冻鸡腿、冻掌中宝等冷冻肉类。（特殊情况下须取得比选人认可后方可用冻肉替代）</w:t>
      </w:r>
    </w:p>
    <w:p w14:paraId="0D40E186">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2、生鲜畜肉类：应无槽头肉和血刀肉；甲状腺、肾上腺、病变淋巴摘除干净；无残留毛绒，不准带长短毛；不带浮毛、凝血块、胆污、粪污及其他污染物；肌肉应有光泽，</w:t>
      </w:r>
    </w:p>
    <w:p w14:paraId="3C767C60">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不粘手，有弹性，指压后凹陷立即恢复原状，并具有鲜肉的正常气味，精排类无龙骨。猪肉应符合生猪溯源体系的要求并有产地动物卫生监督机构出具的检疫（或检测）合格证明和动物产品检疫（或检测）合格验讫印章以及生猪定点屠宰厂肉品品质检验合格验讫印章。</w:t>
      </w:r>
    </w:p>
    <w:p w14:paraId="483BCE94">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3、生鲜禽肉类：家禽鲜活原料应体壮，色泽正常，无病，无内脏，无异物，符合相关规格要求，达到使用标准。生鲜禽肉类必须保证新鲜，应符合食品安全溯源管理要求。</w:t>
      </w:r>
    </w:p>
    <w:p w14:paraId="1EC91CD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4、水产类：须保证鲜活、大小基本统一。水产品的淡水鱼类（仅限草鱼、鲢鱼、鲫鱼、鲤鱼）、海水藻类（仅限海带）的食品安全指标应分别符合GB 2733-2015《食品安全国家标准鲜、冻动物性水产品》、GB 19643-2016 《食品安全国家标准藻类及其制品》的规定或国家卫生、食品安全最新标准。</w:t>
      </w:r>
    </w:p>
    <w:p w14:paraId="1ACBA41C">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冷冻肉类：要求肉体冻实而坚硬，无化冻现象，肉质紧密而有弹性，色泽均匀，不粘手，交货时干净、新鲜、无异味，冷冻禽类食品解冻后净重量不少于90%，冷冻肉类食品解冻后净重量不少于92%，冷冻鱼类要求鱼眼睛清亮，角膜透明，鳞片上覆有冻结的透明黏液层，皮肤天然色泽明显。冷冻水产品解冻后净重量不少于85%，解冻时间为4 小时或以内（室温20℃）。所有冷冻食品均清晰列出产品品牌、规格、类型、包装方式、包装净重、含冰量等相关参数，且包装箱上必须贴有“SC 编码”。</w:t>
      </w:r>
    </w:p>
    <w:p w14:paraId="3BAC7F93">
      <w:pPr>
        <w:spacing w:line="480" w:lineRule="exact"/>
        <w:ind w:left="3" w:firstLine="384" w:firstLineChars="200"/>
        <w:rPr>
          <w:rFonts w:ascii="宋体" w:hAnsi="宋体" w:eastAsia="宋体" w:cs="宋体"/>
          <w:spacing w:val="-9"/>
        </w:rPr>
      </w:pPr>
      <w:r>
        <w:rPr>
          <w:rFonts w:hint="eastAsia" w:ascii="宋体" w:hAnsi="宋体" w:eastAsia="宋体" w:cs="宋体"/>
          <w:spacing w:val="-9"/>
        </w:rPr>
        <w:t>6、配送肉类须符合GB2707-2016、GB2762-2017 现行国家标准或国家卫生、食品安全最新标准。所供肉类不得检出国务院食品安全委员会办公室《“瘦肉精”专项整治方案》（食安办〔2011〕14 号） 规定的“瘦肉精”品质目录。</w:t>
      </w:r>
    </w:p>
    <w:p w14:paraId="6AC3666D">
      <w:pPr>
        <w:spacing w:line="480" w:lineRule="exact"/>
        <w:ind w:left="3" w:firstLine="384" w:firstLineChars="200"/>
        <w:rPr>
          <w:rFonts w:ascii="宋体" w:hAnsi="宋体" w:eastAsia="宋体" w:cs="宋体"/>
          <w:spacing w:val="-9"/>
        </w:rPr>
      </w:pPr>
      <w:r>
        <w:rPr>
          <w:rFonts w:hint="eastAsia" w:ascii="宋体" w:hAnsi="宋体" w:eastAsia="宋体" w:cs="宋体"/>
          <w:spacing w:val="-9"/>
        </w:rPr>
        <w:t>7、比选申请人提供猪肉生产厂家的《生猪定点屠宰证》和《动物防疫条件合格证》（提供证书复印件加盖比选申请人公章）。其他生鲜畜肉（牛肉、羊肉等）类供应时应提供当日《动物检疫合格证明》或《出县境动物产品检疫合格证明》。生鲜禽肉类供应时应提供当日的《动物产品检疫合格证明》或《出县境动物产品检疫合格证明》，外地生鲜禽肉应有其所在地农业部门的检疫合格证明或检疫验讫标识。</w:t>
      </w:r>
    </w:p>
    <w:p w14:paraId="20FB85A5">
      <w:pPr>
        <w:spacing w:line="480" w:lineRule="exact"/>
        <w:ind w:left="3" w:firstLine="384" w:firstLineChars="200"/>
        <w:rPr>
          <w:rFonts w:ascii="宋体" w:hAnsi="宋体" w:eastAsia="宋体" w:cs="宋体"/>
          <w:b/>
          <w:bCs/>
          <w:spacing w:val="-9"/>
        </w:rPr>
      </w:pPr>
      <w:r>
        <w:rPr>
          <w:rFonts w:hint="eastAsia" w:ascii="宋体" w:hAnsi="宋体" w:eastAsia="宋体" w:cs="宋体"/>
          <w:spacing w:val="-9"/>
        </w:rPr>
        <w:t>8、按需求等级进行配送包括当季各类新鲜无公害蔬菜（大棚种植蔬菜）、无公害水果，净菜、鲜面，蔬菜水果符合溯源体系的要求。</w:t>
      </w:r>
    </w:p>
    <w:p w14:paraId="29C69CE4">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蔬菜类：无黄叶、无枯死叶、无虫、无杂质，须当日采摘，当日供应，蔬菜须保证菜面干净、无明显泥土、码放整齐、无破损、大小统一、不得过熟或欠熟，严禁配送药性和肥气未脱，并按相关规定配送前采样送检，按照比选人要求提供具有农药、杀虫剂等残留检测合格的报告。</w:t>
      </w:r>
    </w:p>
    <w:p w14:paraId="4BD9D10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10、水果类：须保证果型匀称，色泽均匀，无干疤、斑点、裂口、腐烂，口感好，并按比选人送货前提出的具体要求供货。</w:t>
      </w:r>
    </w:p>
    <w:p w14:paraId="21354B20">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净菜：须为当天生产，按比选人要求至少提供新鲜无害的净菜产品，食品食材应进行充分的清洗，去除农产品有害物质，保证加工后的食品食材洁净、卫生。对于需要泡制的食品食材，应按食品安全法有关规定进行泡制，不得使用对人体有危害的物质等进行泡制，泡制后应进行充分的清洗。食品食材应按比选人需要进行加工，营养搭配合理且按份进行预包装，加工后的食品食材应符合直接烹炒的要求。建立24小时监控体系，在所有的生产车间、库房安装24小时监控设备，比选人授权相关工作人员即可随时查看监控实时画面，有净菜加工生产线（至少包含以下设备：洗菜机、切菜机、切丁机、切丝机、去皮机、脱水机等）。应有封闭式、独立的净菜加工场所。针对净菜加工要求，设有原材料存放区，分检、筛查区，清洗区，加工区，包装区，配送区等独立区域。加工场所应配备“五防”（防尘、防潮、防虫、防鼠、防蚊蝇）相关设备设施，防止污染食品。</w:t>
      </w:r>
    </w:p>
    <w:p w14:paraId="57B79940">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12、鲜面类：根据比选人要求配送当天生产的鲜面类产品（切面、饺子等）。无须二次处理可以直接进行熟加工。</w:t>
      </w:r>
    </w:p>
    <w:p w14:paraId="219C562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13、所配送的食品食材农药残留须符合GB 2763-2016《食品安全国家标准食品中农药最大残留限量》、GB 2762-2017《食品安全国家标准食品中污染物限量》或国家最新标准要求。为确保食品安全，严禁配送使用剧毒农药的蔬菜、水果，不得配送药性和肥气未脱的蔬菜、水果，必须保证其新鲜度，残余农药含量不能超过国家有关标准，由蔬菜水果引发的食物中毒等安全事故，由比选申请人负全责。</w:t>
      </w:r>
    </w:p>
    <w:p w14:paraId="1F0BEDB9">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干杂、调味品：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标记。符合国家现行或最新标准要求。</w:t>
      </w:r>
    </w:p>
    <w:p w14:paraId="63D912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15、乳制品：符合《中华人民共和国食品安全法》、《乳品质量安全监督管理条例》及《乳品安全国家标准》关于奶制品的相关标准或国家最新标准要求，新鲜、口感好。色泽：呈均匀一致的乳白色，或微黄色。气味：具有牛乳固有的滋味和气味，无异味。组织状态：均匀的液体，无凝块，无粘稠现象。</w:t>
      </w:r>
    </w:p>
    <w:p w14:paraId="408F7A6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16、粮油：每批次产品具有检测报告；大米需符合二级或以上籼米，须符合GB 2715-2016《食品安全国家标准粮食》、《大米国家质量标准》、《国家粮食卫生标准》等或国家最新标准要求；面粉（一级）、挂面须符合GB/T 1355-1986《小麦粉》、GB 8607-1988《高筋小麦粉》等或国家最新标准要求；食用油应符合四级压榨并定型包装，须符合GB 2716-2018《食用植物油卫生标准》等国家最新标准要求；其他粮油类产品须符合国家或者行业规定，保证产品的质量和安全。污染物限量需符合GB 2762-2017《食品安全国家标准食品中污染物限量》等国家最新标准要求。面粉中不得添加过氧化甲酰、溴酸钾，添加营养强化剂应符合GB14880-2012 《食品安全国家标准食品营养强化剂使用标准》。</w:t>
      </w:r>
    </w:p>
    <w:p w14:paraId="4DD238D1">
      <w:pPr>
        <w:spacing w:line="480" w:lineRule="exact"/>
        <w:ind w:left="3" w:firstLine="384" w:firstLineChars="200"/>
        <w:rPr>
          <w:rFonts w:ascii="宋体" w:hAnsi="宋体" w:eastAsia="宋体" w:cs="宋体"/>
          <w:spacing w:val="-9"/>
        </w:rPr>
      </w:pPr>
      <w:r>
        <w:rPr>
          <w:rFonts w:hint="eastAsia" w:ascii="宋体" w:hAnsi="宋体" w:eastAsia="宋体" w:cs="宋体"/>
          <w:spacing w:val="-9"/>
        </w:rPr>
        <w:t>17、禽蛋：蛋类预包装，配送时必须保证按需求等级配送且可溯源、新鲜、清洁卫生、无破损，应符合GB 2749-2015《食品安全国家标准蛋与蛋制品》、GB 2762-2017《食品安全国家标准食品中污染物限量》等国家最新标准要求。</w:t>
      </w:r>
    </w:p>
    <w:p w14:paraId="63F3ED6A">
      <w:pPr>
        <w:spacing w:line="480" w:lineRule="exact"/>
        <w:ind w:left="3" w:firstLine="384" w:firstLineChars="200"/>
        <w:rPr>
          <w:rFonts w:ascii="宋体" w:hAnsi="宋体" w:eastAsia="宋体" w:cs="宋体"/>
          <w:spacing w:val="-9"/>
        </w:rPr>
      </w:pPr>
      <w:r>
        <w:rPr>
          <w:rFonts w:hint="eastAsia" w:ascii="宋体" w:hAnsi="宋体" w:eastAsia="宋体" w:cs="宋体"/>
          <w:spacing w:val="-9"/>
        </w:rPr>
        <w:t>18、比选人所需的其他副食：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 标记，须符合国家相关标准或最新标准。</w:t>
      </w:r>
    </w:p>
    <w:p w14:paraId="0746826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19、食品原料的食品安全指标应符合相应食品安全国家标准的规定，分等分级的质量指标不低于国家有关食品质量标准的中位数水平，如质量或规格等级划分为1、2、3、4、5 或大（L）、中（M）、小（S）的，应选择1、2 或大（L）、中（M）等级。食品原料的包装应完整、清洁、无破损，包装有关食品名称、生产日期、保质期限、质量等级、生产经营者等标识内容应与其内装物一致。</w:t>
      </w:r>
    </w:p>
    <w:p w14:paraId="4459E2EA">
      <w:pPr>
        <w:spacing w:line="480" w:lineRule="exact"/>
        <w:ind w:left="3" w:firstLine="384" w:firstLineChars="200"/>
        <w:rPr>
          <w:rFonts w:ascii="宋体" w:hAnsi="宋体" w:eastAsia="宋体" w:cs="宋体"/>
          <w:spacing w:val="-9"/>
        </w:rPr>
      </w:pPr>
      <w:r>
        <w:rPr>
          <w:rFonts w:hint="eastAsia" w:ascii="宋体" w:hAnsi="宋体" w:eastAsia="宋体" w:cs="宋体"/>
          <w:spacing w:val="-9"/>
        </w:rPr>
        <w:t>20、预包装食品须保证规格品种完全符合比选人要求，包装规格、口味、种类齐全。保质期在3 天（含）以内的，必须是送货当天生产的货品；保质期在7 天（含）以内的，送货日不超过生产日两日；保质期在6 个月（含）以内的，送货日至保质期到期日的天数必须大于保质期天数的三分之二；6 个月（不含）以上的，送货日至保质期到期日的天数必须大于保质期天数的二分之一，凭出厂合格证与检验员章确认质量。</w:t>
      </w:r>
    </w:p>
    <w:p w14:paraId="3C53D9D8">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（三）其他要求</w:t>
      </w:r>
    </w:p>
    <w:p w14:paraId="3ECA13F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1、配送生活物资安全要求</w:t>
      </w:r>
    </w:p>
    <w:p w14:paraId="54F8A25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所配送的生活物资必须符合国家食品安全相关的法律、法规和标准的要求。若国家出台新法律、法规和标准，则以新的法律、法规和标准为准，保证所供产品配送到采购人时的质量、卫生和安全。</w:t>
      </w:r>
    </w:p>
    <w:p w14:paraId="3474B583">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配送的需要包装的生活物资，其包装材料均须符合食品包装容器和包装材料应有食品安全标准或要求，并带有标签。标志、标签应符合国家相关最新标准及食品安全法规的相关规定。包装计量食品应符合国家质检总局最新《定量包装商品计量监督管理办法》的有关规定。</w:t>
      </w:r>
    </w:p>
    <w:p w14:paraId="3B7A8F90">
      <w:pPr>
        <w:spacing w:line="480" w:lineRule="exact"/>
        <w:ind w:left="3" w:firstLine="384" w:firstLineChars="200"/>
        <w:rPr>
          <w:rFonts w:ascii="宋体" w:hAnsi="宋体" w:eastAsia="宋体" w:cs="宋体"/>
        </w:rPr>
      </w:pPr>
      <w:r>
        <w:rPr>
          <w:rFonts w:hint="eastAsia" w:ascii="宋体" w:hAnsi="宋体" w:eastAsia="宋体" w:cs="宋体"/>
          <w:spacing w:val="-9"/>
        </w:rPr>
        <w:t>（3）比选申请人必须承诺若发生因生活物资引发的食品安全事故，由比选申请人承担全部责任。</w:t>
      </w:r>
    </w:p>
    <w:p w14:paraId="194CD5AE">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2、配送生活物资管理要求</w:t>
      </w:r>
    </w:p>
    <w:p w14:paraId="4C3E893B">
      <w:pPr>
        <w:spacing w:line="480" w:lineRule="exact"/>
        <w:ind w:left="3" w:firstLine="384" w:firstLineChars="200"/>
        <w:rPr>
          <w:rFonts w:ascii="宋体" w:hAnsi="宋体" w:eastAsia="宋体" w:cs="宋体"/>
        </w:rPr>
      </w:pPr>
      <w:r>
        <w:rPr>
          <w:rFonts w:hint="eastAsia" w:ascii="宋体" w:hAnsi="宋体" w:eastAsia="宋体" w:cs="宋体"/>
          <w:spacing w:val="-9"/>
        </w:rPr>
        <w:t>（1）所有生活物资均应做好原辅料出入库登记管理、产成品出入库登记管理、出厂检测报告记录管理、第三方农产品有害物质检测报告记录管理；需进行加工的生活物资另须做好生产记录管理。</w:t>
      </w:r>
    </w:p>
    <w:p w14:paraId="5A7A16B0">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（2）所有生活物资均须留样，留样地点、时限等以相关国家标准及采购人要求为准。非预包装生活物资生鲜生活物资留样保存24 小时，其余预包装类生活物资留样保存一周。</w:t>
      </w:r>
    </w:p>
    <w:p w14:paraId="4A6F8F1C">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（3）所有配送生活物资在配送前，必须自行查验。预包装食品必须粘贴印有比选申请人详细信息的封条。</w:t>
      </w:r>
    </w:p>
    <w:p w14:paraId="39845DED">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（4）所有生活物资在出库前必须检查其有效期、包装完整程度等。</w:t>
      </w:r>
    </w:p>
    <w:p w14:paraId="2CBDA92A">
      <w:pPr>
        <w:spacing w:line="480" w:lineRule="exact"/>
        <w:ind w:left="3" w:firstLine="384" w:firstLineChars="200"/>
        <w:rPr>
          <w:rFonts w:ascii="宋体" w:hAnsi="宋体" w:eastAsia="宋体" w:cs="宋体"/>
          <w:spacing w:val="-9"/>
        </w:rPr>
      </w:pPr>
      <w:r>
        <w:rPr>
          <w:rFonts w:hint="eastAsia" w:ascii="宋体" w:hAnsi="宋体" w:eastAsia="宋体" w:cs="宋体"/>
          <w:spacing w:val="-9"/>
        </w:rPr>
        <w:t>（5）比选申请人配送人员应持健康证上岗。</w:t>
      </w:r>
    </w:p>
    <w:p w14:paraId="2FEDE670">
      <w:pPr>
        <w:spacing w:line="480" w:lineRule="exact"/>
        <w:ind w:left="3" w:firstLine="384" w:firstLineChars="200"/>
        <w:rPr>
          <w:rFonts w:ascii="宋体" w:hAnsi="宋体" w:eastAsia="宋体" w:cs="宋体"/>
          <w:spacing w:val="-9"/>
        </w:rPr>
      </w:pPr>
      <w:r>
        <w:rPr>
          <w:rFonts w:hint="eastAsia" w:ascii="宋体" w:hAnsi="宋体" w:eastAsia="宋体" w:cs="宋体"/>
          <w:spacing w:val="-9"/>
        </w:rPr>
        <w:t>（6）比选申请人所有的生产、加工、储存、配送人员等所有与本项目相关的人员每年应进行一次体检。</w:t>
      </w:r>
    </w:p>
    <w:p w14:paraId="5441A2DF">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3、环境场所要求</w:t>
      </w:r>
    </w:p>
    <w:p w14:paraId="51A8D34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（1）比选申请人须严格执行《中华人民共和国食品安全法》及中华人民共和国有关餐饮、食品的卫生制度。</w:t>
      </w:r>
    </w:p>
    <w:p w14:paraId="1BCC8632">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（2）比选申请人应具备实施本包件所必需的冷冻冷藏库及食品经营、加工、储存、配送、检测场所或租赁的固定生活物资仓储库房，承诺能按时、按需运送货物并保证所配送产品的质量、卫生和安全。</w:t>
      </w:r>
    </w:p>
    <w:p w14:paraId="6AA8218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4、生活物资配送要求</w:t>
      </w:r>
    </w:p>
    <w:p w14:paraId="55C45EE3">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需配送产品必须符合产品加工运输的国家标准，并实行专车专人定点配送，按规定送到采购人指定的库房，并按存放要求堆放整齐。比选申请人须提供专职联系人员联系方式，负责联系（电话、微信）并确认生活物资种类、数量、配送时间及配送要求，信息交换方式等由双方自行商定。</w:t>
      </w:r>
    </w:p>
    <w:p w14:paraId="37DBDC5D">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（2）比选申请人必须自行提供配送服务，不得将配送项目进行任何方式的转包。</w:t>
      </w:r>
    </w:p>
    <w:p w14:paraId="51726092">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（3）配送车辆：为保证配送时效，比选申请人应保证用于本项目的配送驾驶员应与配送车辆相对应，一人一车。</w:t>
      </w:r>
    </w:p>
    <w:p w14:paraId="7FB01A97">
      <w:pPr>
        <w:spacing w:line="480" w:lineRule="exact"/>
        <w:ind w:left="3" w:firstLine="384" w:firstLineChars="200"/>
        <w:rPr>
          <w:rFonts w:ascii="宋体" w:hAnsi="宋体" w:eastAsia="宋体" w:cs="宋体"/>
          <w:spacing w:val="-9"/>
        </w:rPr>
      </w:pPr>
      <w:r>
        <w:rPr>
          <w:rFonts w:hint="eastAsia" w:ascii="宋体" w:hAnsi="宋体" w:eastAsia="宋体" w:cs="宋体"/>
          <w:spacing w:val="-9"/>
        </w:rPr>
        <w:t>（4）人员要求：</w:t>
      </w:r>
    </w:p>
    <w:p w14:paraId="0D15326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每辆配送车辆保证配送人员，配送人员应具备有效的健康合格证明，无犯罪、吸毒史。</w:t>
      </w:r>
    </w:p>
    <w:p w14:paraId="54EF89B8">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运输要求：比选申请人应做好运输过程中的食品安全保障工作。运输中要防止雨淋日晒及交叉污染，确保配送的生活物资优质、安全、可靠，确保运输安全。若采购人发现配送的生活物资存在包装破损或变质，将及时通知比选申请人进行处理并做好记录，比选申请人需更换相同品种相同数量的原材料（不另行收费）。</w:t>
      </w:r>
    </w:p>
    <w:p w14:paraId="5215B562">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5、应急配送要求</w:t>
      </w:r>
    </w:p>
    <w:p w14:paraId="758BC820">
      <w:pPr>
        <w:spacing w:line="480" w:lineRule="exact"/>
        <w:ind w:left="3" w:firstLine="384" w:firstLineChars="200"/>
        <w:rPr>
          <w:rFonts w:ascii="宋体" w:hAnsi="宋体" w:eastAsia="宋体" w:cs="宋体"/>
          <w:spacing w:val="-9"/>
        </w:rPr>
      </w:pPr>
      <w:r>
        <w:rPr>
          <w:rFonts w:hint="eastAsia" w:ascii="宋体" w:hAnsi="宋体" w:eastAsia="宋体" w:cs="宋体"/>
          <w:spacing w:val="-9"/>
        </w:rPr>
        <w:t>针对应急保障，比选申请人具有完善的应急配送网点，并配备有应急配送车，在采购人有补货要求时，补货必须在1个小时内送达采购人指定地点。</w:t>
      </w:r>
    </w:p>
    <w:p w14:paraId="6974BF3B">
      <w:pPr>
        <w:spacing w:line="480" w:lineRule="exact"/>
        <w:ind w:left="3" w:firstLine="384" w:firstLineChars="200"/>
        <w:rPr>
          <w:rFonts w:ascii="宋体" w:hAnsi="宋体" w:eastAsia="宋体" w:cs="宋体"/>
          <w:spacing w:val="-9"/>
        </w:rPr>
      </w:pPr>
      <w:r>
        <w:rPr>
          <w:rFonts w:hint="eastAsia" w:ascii="宋体" w:hAnsi="宋体" w:eastAsia="宋体" w:cs="宋体"/>
          <w:spacing w:val="-9"/>
        </w:rPr>
        <w:t>6、生活物资溯源要求</w:t>
      </w:r>
    </w:p>
    <w:p w14:paraId="47634A0A">
      <w:pPr>
        <w:spacing w:line="480" w:lineRule="exact"/>
        <w:ind w:left="3" w:firstLine="384" w:firstLineChars="200"/>
        <w:rPr>
          <w:rFonts w:ascii="宋体" w:hAnsi="宋体" w:eastAsia="宋体" w:cs="宋体"/>
          <w:b/>
          <w:bCs/>
          <w:spacing w:val="-9"/>
        </w:rPr>
      </w:pPr>
      <w:r>
        <w:rPr>
          <w:rFonts w:hint="eastAsia" w:ascii="宋体" w:hAnsi="宋体" w:eastAsia="宋体" w:cs="宋体"/>
          <w:spacing w:val="-9"/>
        </w:rPr>
        <w:t>比选申请人须具有完善的食品溯源体系，内容有生产人员、生产日期及时间、进货日期及时间与召回制度，应定期进行演练。质量安全指标检测不合格时，应予以及时召回。</w:t>
      </w:r>
    </w:p>
    <w:p w14:paraId="7F49AA55">
      <w:pPr>
        <w:spacing w:line="480" w:lineRule="exact"/>
        <w:ind w:left="3" w:firstLine="384" w:firstLineChars="200"/>
        <w:rPr>
          <w:rFonts w:ascii="宋体" w:hAnsi="宋体" w:eastAsia="宋体" w:cs="宋体"/>
          <w:spacing w:val="-9"/>
        </w:rPr>
      </w:pPr>
      <w:r>
        <w:rPr>
          <w:rFonts w:hint="eastAsia" w:ascii="宋体" w:hAnsi="宋体" w:eastAsia="宋体" w:cs="宋体"/>
          <w:spacing w:val="-9"/>
        </w:rPr>
        <w:t>7、食品食材验收要求</w:t>
      </w:r>
    </w:p>
    <w:p w14:paraId="3C67D5FE">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（1）验收流程</w:t>
      </w:r>
    </w:p>
    <w:p w14:paraId="4BF4D16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 做好卸货前的检查。双方验收人员卸货前应对场地和验收设备做好准备，并对物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14:paraId="273AD46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 采取现场验收的方式，双方验收人员应认真检查物资的质量，按索票——验证——抽查——过磅——入库的程序完成验收，中选人可提供原件给比选人，原件只有一份而无法提供给比选人的，查验原件后索取复印件盖中选人鲜章留存。</w:t>
      </w:r>
    </w:p>
    <w:p w14:paraId="1775CEBA">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 验收人员应按比选申请文件产品质量要求对货物质量进行抽查，比较相关文件，以确保食品品种符合要求。如确定有所差异，应即刻通知送货人员。如发现食品有损坏的情况，应在相关单据上记录所有损坏情况。并对货物损坏情况进行拍照并存档。对于食品验收的全部信息数据，比选人使用单位验收人员应和中选人送货人员一起确认，并保留双方签字单据。</w:t>
      </w:r>
    </w:p>
    <w:p w14:paraId="5743282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 抽查发现食品安全质量问题的处理：</w:t>
      </w:r>
    </w:p>
    <w:p w14:paraId="5A12D8AC">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①对危及人身安全的食品质量问题采取零容忍措施，一经发现，当日所送同批次产品全部退货。</w:t>
      </w:r>
    </w:p>
    <w:p w14:paraId="6A2C1FAB">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②若抽查未发现问题，而在加工食用前发现部分产品质量问题，应立即通知中选人，将问题产品退货处理。</w:t>
      </w:r>
    </w:p>
    <w:p w14:paraId="1AD954BD">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（2）退（补）货流程</w:t>
      </w:r>
    </w:p>
    <w:p w14:paraId="69D41EA7">
      <w:pPr>
        <w:spacing w:line="480" w:lineRule="exact"/>
        <w:ind w:left="3" w:firstLine="384" w:firstLineChars="200"/>
        <w:rPr>
          <w:rFonts w:ascii="宋体" w:hAnsi="宋体" w:eastAsia="宋体" w:cs="宋体"/>
          <w:spacing w:val="-9"/>
        </w:rPr>
      </w:pPr>
      <w:r>
        <w:rPr>
          <w:rFonts w:hint="eastAsia" w:ascii="宋体" w:hAnsi="宋体" w:eastAsia="宋体" w:cs="宋体"/>
          <w:spacing w:val="-9"/>
        </w:rPr>
        <w:t>对不符合质量要求的货物由比选人使用单位验收人员提出清退，如双方对质量或重量有争议的可送具有检验资质的部门检测，同时留样备检，对数量不足或部分退货的，责成中选人以不影响伙食供应为前提尽快补送。在退货过程中，对有碍公共卫生安全的食品，应按国家有关规定处理或进行协议销毁，不退货给中选人。</w:t>
      </w:r>
    </w:p>
    <w:p w14:paraId="2F429F84">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（3）验收记录</w:t>
      </w:r>
    </w:p>
    <w:p w14:paraId="63DEBAA6">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为保证配送品种斤两的准确性，对每次验收的货物均记录货物名称、数量、验收情况等事项，以比选人的验货数量为准，双方验货后签字确认，比选人留存贰份，中选人留存壹份。作为送、收货的凭证。</w:t>
      </w:r>
    </w:p>
    <w:p w14:paraId="3F5FD260">
      <w:pPr>
        <w:spacing w:line="480" w:lineRule="exact"/>
        <w:ind w:left="3" w:firstLine="384" w:firstLineChars="200"/>
        <w:rPr>
          <w:rFonts w:ascii="宋体" w:hAnsi="宋体" w:eastAsia="宋体" w:cs="宋体"/>
          <w:spacing w:val="-9"/>
        </w:rPr>
      </w:pPr>
      <w:r>
        <w:rPr>
          <w:rFonts w:hint="eastAsia" w:ascii="宋体" w:hAnsi="宋体" w:eastAsia="宋体" w:cs="宋体"/>
          <w:spacing w:val="-9"/>
        </w:rPr>
        <w:t>（4）验收标准</w:t>
      </w:r>
    </w:p>
    <w:p w14:paraId="0A39FD3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比选申请人所提供的物品必须符合国家有关标准，有产品检验报告。保证无异味、无霉烂变质，如不符合文件所描述的质量标准，必须退货并承担违约责任。</w:t>
      </w:r>
    </w:p>
    <w:p w14:paraId="149C69C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4.1 所供货物必须符合国家行业生产及相关标准，均能提供相应批次的合格检验证明（如农药残留检测报告、动物检疫证等。</w:t>
      </w:r>
    </w:p>
    <w:p w14:paraId="2DFA4567">
      <w:pPr>
        <w:spacing w:line="480" w:lineRule="exact"/>
        <w:ind w:left="3" w:firstLine="384" w:firstLineChars="200"/>
        <w:rPr>
          <w:rFonts w:ascii="宋体" w:hAnsi="宋体" w:eastAsia="宋体" w:cs="宋体"/>
          <w:spacing w:val="-9"/>
        </w:rPr>
      </w:pPr>
      <w:r>
        <w:rPr>
          <w:rFonts w:hint="eastAsia" w:ascii="宋体" w:hAnsi="宋体" w:eastAsia="宋体" w:cs="宋体"/>
          <w:spacing w:val="-9"/>
        </w:rPr>
        <w:t>4.2 所提供的鲜肉、骨必须是经过肉检（卫生部门检疫）的当日屠宰的新鲜肉，应保持较好的外观和质量等级，符合国家食品部门的有关标准，保证无异味、无腐烂变质，无添加瘦肉精，提供当批有效的动物检疫合格证复印件（原件备查），鲜肉确保每日新鲜（当日屠宰）、无异味，并注明保鲜期。</w:t>
      </w:r>
    </w:p>
    <w:p w14:paraId="44FC0FBF">
      <w:pPr>
        <w:spacing w:line="480" w:lineRule="exact"/>
        <w:ind w:left="3" w:firstLine="384" w:firstLineChars="200"/>
        <w:rPr>
          <w:rFonts w:ascii="宋体" w:hAnsi="宋体" w:eastAsia="宋体" w:cs="宋体"/>
          <w:spacing w:val="-9"/>
        </w:rPr>
      </w:pPr>
      <w:r>
        <w:rPr>
          <w:rFonts w:hint="eastAsia" w:ascii="宋体" w:hAnsi="宋体" w:eastAsia="宋体" w:cs="宋体"/>
          <w:spacing w:val="-9"/>
        </w:rPr>
        <w:t>4.3 其他冷冻肉类：冷冻肉要求肉体冻实而且坚硬，无化冻现象，肉质紧密而有弹性， 色泽均匀，不粘手，交货时干净、新鲜、无异味；冷冻鱼类要求鱼眼睛清亮，角膜透明， 鳞片上覆有冻结的透明黏液层，皮肤天然色泽明显。</w:t>
      </w:r>
    </w:p>
    <w:p w14:paraId="106E9282">
      <w:pPr>
        <w:spacing w:line="480" w:lineRule="exact"/>
        <w:ind w:left="3" w:firstLine="384" w:firstLineChars="200"/>
        <w:rPr>
          <w:rFonts w:ascii="宋体" w:hAnsi="宋体" w:eastAsia="宋体" w:cs="宋体"/>
          <w:spacing w:val="-9"/>
        </w:rPr>
      </w:pPr>
      <w:r>
        <w:rPr>
          <w:rFonts w:hint="eastAsia" w:ascii="宋体" w:hAnsi="宋体" w:eastAsia="宋体" w:cs="宋体"/>
          <w:spacing w:val="-9"/>
        </w:rPr>
        <w:t>4.4 冷冻禽类食品解冻后净重量不少于90%，冷冻肉类食品解冻后净重量不少于92%，冷冻水产品解冻后净重量不少于85%，解冻时间为4小时或以内（室温20℃）。所有冷冻食品均清晰列出产品品牌、规格、类型、包装方式、包装净重、含冰量等相关参数，且包装箱上必须贴有“SC 编码”。</w:t>
      </w:r>
    </w:p>
    <w:p w14:paraId="03C51F1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4.5 冷冻食品为预包装食品，具有明显“SC 编码”。</w:t>
      </w:r>
    </w:p>
    <w:p w14:paraId="3400002D">
      <w:pPr>
        <w:spacing w:line="480" w:lineRule="exact"/>
        <w:ind w:left="3" w:firstLine="384" w:firstLineChars="200"/>
        <w:rPr>
          <w:rFonts w:ascii="宋体" w:hAnsi="宋体" w:eastAsia="宋体" w:cs="宋体"/>
          <w:spacing w:val="-9"/>
        </w:rPr>
      </w:pPr>
      <w:r>
        <w:rPr>
          <w:rFonts w:hint="eastAsia" w:ascii="宋体" w:hAnsi="宋体" w:eastAsia="宋体" w:cs="宋体"/>
          <w:spacing w:val="-9"/>
        </w:rPr>
        <w:t>4.6 瓜、果、蔬菜必须是优质货品，蔬菜必须保证是24 小时内收成，保持较好色泽及新鲜度；不得含有残留农药或污染物，比选申请人必须保证所供应的蔬菜、瓜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14:paraId="58FD515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4.7 所供货物必须符合国家行业生产及相关标准，货真价实，均能提供相应批次的合格检验证明（如农药残留检测报告）。</w:t>
      </w:r>
    </w:p>
    <w:p w14:paraId="42380F8B">
      <w:pPr>
        <w:spacing w:line="480" w:lineRule="exact"/>
        <w:ind w:left="3" w:firstLine="384" w:firstLineChars="200"/>
        <w:rPr>
          <w:rFonts w:ascii="宋体" w:hAnsi="宋体" w:eastAsia="宋体" w:cs="宋体"/>
          <w:spacing w:val="-9"/>
        </w:rPr>
      </w:pPr>
      <w:r>
        <w:rPr>
          <w:rFonts w:hint="eastAsia" w:ascii="宋体" w:hAnsi="宋体" w:eastAsia="宋体" w:cs="宋体"/>
          <w:spacing w:val="-9"/>
        </w:rPr>
        <w:t>4.8 所提供大米、面食、食用油等必须有明显“SC 编码”。不得有掺假、变质、变味、过期等现象出现，严禁伪劣、假冒、无证不合格物品进入仓库。按等级保质保量完成供货。有明确的商品标签，有生产日期、保质期、质量等级，食用油还须要并标明初制油的加工工艺(即用浸出法生产，还是用压榨法生产的)。</w:t>
      </w:r>
    </w:p>
    <w:p w14:paraId="1CCCCF1E">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（5）农产品有害物质限量要求</w:t>
      </w:r>
    </w:p>
    <w:p w14:paraId="7522A1AF">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比选申请人提供的农产品的有害物质应符合国家关于农残、兽残及污染物限量等国家最新标准要求。（包含但不限于《GB 2762-2017 食品安全国家标准食品中污染物限量》、《GB 2763-2016 食品安全国家标准食品中农药最大残留限量》等）</w:t>
      </w:r>
    </w:p>
    <w:p w14:paraId="50F690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（6）调味品、小食品、预包装食品等保证配送种类、品牌、规格，质量完全符合比选人要求，包装完整、无任何破损、无挤压、无破碎、无异味、无任何表面附着物或衍生物。</w:t>
      </w:r>
    </w:p>
    <w:p w14:paraId="54DBFB29">
      <w:pPr>
        <w:spacing w:line="480" w:lineRule="exact"/>
        <w:ind w:left="3" w:firstLine="384" w:firstLineChars="200"/>
        <w:rPr>
          <w:rFonts w:ascii="宋体" w:hAnsi="宋体" w:eastAsia="宋体" w:cs="宋体"/>
          <w:spacing w:val="-9"/>
        </w:rPr>
      </w:pPr>
      <w:r>
        <w:rPr>
          <w:rFonts w:hint="eastAsia" w:ascii="宋体" w:hAnsi="宋体" w:eastAsia="宋体" w:cs="宋体"/>
          <w:spacing w:val="-9"/>
        </w:rPr>
        <w:t>（7）责任追究制度</w:t>
      </w:r>
    </w:p>
    <w:p w14:paraId="71450714">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中选人应积极配合比选人及相关部门随时抽查商品来源、配送采购及流程，中选人如无正当理由拒绝的，考核扣除2000 元/次，情节恶劣的比选人有权中止合同。因中选人配送不及时或配送错误，影响正常就餐的，给予处罚3000 元/次；情节严重的取消配送资格；因配送产品引发的食品安全事故或造成责任事故的取消中选人配送资格，并将追究其法律责任。</w:t>
      </w:r>
    </w:p>
    <w:p w14:paraId="2C43A66A">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三、商务要求</w:t>
      </w:r>
    </w:p>
    <w:p w14:paraId="553968E0">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（一）交货时间：</w:t>
      </w:r>
    </w:p>
    <w:p w14:paraId="44034128">
      <w:pPr>
        <w:spacing w:line="480" w:lineRule="exact"/>
        <w:ind w:left="3" w:firstLine="384" w:firstLineChars="200"/>
        <w:rPr>
          <w:rFonts w:ascii="宋体" w:hAnsi="宋体" w:eastAsia="宋体" w:cs="宋体"/>
          <w:spacing w:val="-9"/>
        </w:rPr>
      </w:pPr>
      <w:r>
        <w:rPr>
          <w:rFonts w:hint="eastAsia" w:ascii="宋体" w:hAnsi="宋体" w:eastAsia="宋体" w:cs="宋体"/>
          <w:spacing w:val="-9"/>
        </w:rPr>
        <w:t>自合同签订之日，每日供货或按比选人要求。</w:t>
      </w:r>
    </w:p>
    <w:p w14:paraId="7B242B69">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（二）交货地点</w:t>
      </w:r>
    </w:p>
    <w:p w14:paraId="71801E2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比选人指定食堂。</w:t>
      </w:r>
    </w:p>
    <w:p w14:paraId="1180703D">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（三）支付方式</w:t>
      </w:r>
    </w:p>
    <w:p w14:paraId="2D269F1B">
      <w:pPr>
        <w:spacing w:line="480" w:lineRule="exact"/>
        <w:ind w:left="3" w:firstLine="384" w:firstLineChars="200"/>
        <w:rPr>
          <w:rFonts w:ascii="宋体" w:hAnsi="宋体" w:eastAsia="宋体" w:cs="宋体"/>
          <w:spacing w:val="-9"/>
        </w:rPr>
      </w:pPr>
      <w:r>
        <w:rPr>
          <w:rFonts w:hint="eastAsia" w:ascii="宋体" w:hAnsi="宋体" w:eastAsia="宋体" w:cs="宋体"/>
          <w:spacing w:val="-9"/>
        </w:rPr>
        <w:t>货款实行按月结算。</w:t>
      </w:r>
    </w:p>
    <w:p w14:paraId="09E2980E">
      <w:pPr>
        <w:spacing w:line="480" w:lineRule="exact"/>
        <w:ind w:left="3" w:firstLine="384" w:firstLineChars="200"/>
        <w:rPr>
          <w:rFonts w:ascii="宋体" w:hAnsi="宋体" w:eastAsia="宋体" w:cs="宋体"/>
          <w:spacing w:val="-9"/>
        </w:rPr>
      </w:pPr>
      <w:r>
        <w:rPr>
          <w:rFonts w:hint="eastAsia" w:ascii="宋体" w:hAnsi="宋体" w:eastAsia="宋体" w:cs="宋体"/>
          <w:spacing w:val="-9"/>
        </w:rPr>
        <w:t>（四）验收标准和方法</w:t>
      </w:r>
    </w:p>
    <w:p w14:paraId="2C5F5F0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1.所有货物及外包装必须安全、卫生、无毒、无害，符合食品卫生质量要求，产品必须通过国家强制要求的各类认证。</w:t>
      </w:r>
    </w:p>
    <w:p w14:paraId="3B7EB970">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2.所有货物必须符合卫生防疫、检疫部门，质量检验、监督等部门的相关质量要求，能出具相关权威部门近期有效清晰的质检报告单；</w:t>
      </w:r>
    </w:p>
    <w:p w14:paraId="07056CB0">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3.所有货物有较好的感官性状。</w:t>
      </w:r>
    </w:p>
    <w:p w14:paraId="32D3800B">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在合同期内，比选人将抽取中选人所配送的物资送至国家相关检验机构进行检验一至两次，第一次送检费用由中选人承担，第二次送检若检验不合格，送检费用由中选人承担，若检验合格，送检费用由比选人负责。若送检质量不合格，将依据合同条款进行处罚，情节严重者终止合同，并按合同违约条款进行赔偿。</w:t>
      </w:r>
    </w:p>
    <w:p w14:paraId="782783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若中选人所提供物资的质量因不符合相关质量标准，导致比选人被卫生防疫、检疫部门处罚，所产生的罚款费用由中选人全额承担，将依据合同条款进行处罚，情节严重者终止合同，并按合同违约条款进行赔偿。</w:t>
      </w:r>
    </w:p>
    <w:p w14:paraId="04A5B5E2">
      <w:pPr>
        <w:spacing w:line="480" w:lineRule="exact"/>
        <w:ind w:left="3" w:firstLine="384" w:firstLineChars="200"/>
        <w:rPr>
          <w:rFonts w:ascii="宋体" w:hAnsi="宋体" w:eastAsia="宋体" w:cs="宋体"/>
          <w:spacing w:val="-9"/>
        </w:rPr>
      </w:pPr>
      <w:r>
        <w:rPr>
          <w:rFonts w:hint="eastAsia" w:ascii="宋体" w:hAnsi="宋体" w:eastAsia="宋体" w:cs="宋体"/>
          <w:spacing w:val="-9"/>
        </w:rPr>
        <w:t>6.原材料验收由比选人、中选人，双方现场检验，对供应产品的质量无异议数量准确无误后，双方签字，各自留存。</w:t>
      </w:r>
    </w:p>
    <w:p w14:paraId="5B0F2BCC">
      <w:pPr>
        <w:spacing w:line="480" w:lineRule="exact"/>
        <w:ind w:left="3" w:firstLine="384" w:firstLineChars="200"/>
        <w:rPr>
          <w:rFonts w:ascii="宋体" w:hAnsi="宋体" w:eastAsia="宋体" w:cs="宋体"/>
          <w:spacing w:val="-9"/>
        </w:rPr>
      </w:pPr>
      <w:r>
        <w:rPr>
          <w:rFonts w:hint="eastAsia" w:ascii="宋体" w:hAnsi="宋体" w:eastAsia="宋体" w:cs="宋体"/>
          <w:spacing w:val="-9"/>
        </w:rPr>
        <w:t>7.冷鲜猪肉类必须保证供应为当日生产的产品，须出具加盖地方政府监督所检疫章的动物检疫证明，畜肉品须色泽鲜亮、无任何异味、无毛、按压无水迹。</w:t>
      </w:r>
    </w:p>
    <w:p w14:paraId="0C349C0F">
      <w:pPr>
        <w:spacing w:line="480" w:lineRule="exact"/>
        <w:ind w:left="3" w:firstLine="384" w:firstLineChars="200"/>
        <w:rPr>
          <w:rFonts w:ascii="宋体" w:hAnsi="宋体" w:eastAsia="宋体" w:cs="宋体"/>
          <w:spacing w:val="-9"/>
        </w:rPr>
      </w:pPr>
      <w:r>
        <w:rPr>
          <w:rFonts w:hint="eastAsia" w:ascii="宋体" w:hAnsi="宋体" w:eastAsia="宋体" w:cs="宋体"/>
          <w:spacing w:val="-9"/>
        </w:rPr>
        <w:t>8.原材料在验收时有不符合要求的，一律退回，中选人无条件重新更换配送货物，更换后仍然不符合标准的招标方有权对中选人处以一定金额的罚款。</w:t>
      </w:r>
    </w:p>
    <w:p w14:paraId="5752A401">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9.质量要求：所有食材质量必须达到《中华人民共和国食品安全法》及相关法律法规的要求。</w:t>
      </w:r>
    </w:p>
    <w:p w14:paraId="56A4BEEC">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10.比选人明确禁止使用含有兴奋剂的食品和添加剂，比选申请人应完全尊重甲方的行业惯例和要求，确保所供应食品中不出现含瘦肉精等类似违禁添加剂。</w:t>
      </w:r>
    </w:p>
    <w:p w14:paraId="312D617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11.中选人按照卫生防疫要求定期提供相应的食品出厂合格证，检疫证等相关证件。</w:t>
      </w:r>
    </w:p>
    <w:p w14:paraId="7B97670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因中选人供货质量原因，引起比选人食品安全事故，应按照《中华人民共和国食品安全法》及相关规定，除赔偿当期的原材料损失外，还应对由此引起的其他延续损失给予全额经济赔偿(包括医疗、声誉)，并承担其他相应法律责任。</w:t>
      </w:r>
    </w:p>
    <w:p w14:paraId="2FC39361">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（五）违约责任与解决争议的方法</w:t>
      </w:r>
    </w:p>
    <w:p w14:paraId="10FE7DCA">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比选人违约责任 </w:t>
      </w:r>
    </w:p>
    <w:p w14:paraId="7162B31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（1）因比选人无故逾期支付合同款的，除应及时付合同款外，应向中选人支付欠款总额万分之一/天的违约金；逾期付款超过30天的，中选人有权终止合同；</w:t>
      </w:r>
    </w:p>
    <w:p w14:paraId="7511826A">
      <w:pPr>
        <w:spacing w:line="480" w:lineRule="exact"/>
        <w:ind w:firstLine="384" w:firstLineChars="200"/>
        <w:rPr>
          <w:rFonts w:ascii="宋体" w:hAnsi="宋体" w:eastAsia="宋体" w:cs="宋体"/>
          <w:spacing w:val="-9"/>
        </w:rPr>
      </w:pPr>
      <w:r>
        <w:rPr>
          <w:rFonts w:hint="eastAsia" w:ascii="宋体" w:hAnsi="宋体" w:eastAsia="宋体" w:cs="宋体"/>
          <w:spacing w:val="-9"/>
        </w:rPr>
        <w:t>（2）比选人偿付的违约金不足以弥补中选人损失的，还应按中选人损失尚未弥补的部分，支付赔偿金给中选人。</w:t>
      </w:r>
    </w:p>
    <w:p w14:paraId="7A1CA8B4">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中选人违约责任 </w:t>
      </w:r>
    </w:p>
    <w:p w14:paraId="69C4F6AF">
      <w:pPr>
        <w:numPr>
          <w:ilvl w:val="0"/>
          <w:numId w:val="3"/>
        </w:numPr>
        <w:spacing w:line="480" w:lineRule="exact"/>
        <w:ind w:firstLine="384" w:firstLineChars="200"/>
        <w:rPr>
          <w:rFonts w:ascii="宋体" w:hAnsi="宋体" w:eastAsia="宋体" w:cs="宋体"/>
          <w:spacing w:val="-9"/>
        </w:rPr>
      </w:pPr>
      <w:r>
        <w:rPr>
          <w:rFonts w:hint="eastAsia" w:ascii="宋体" w:hAnsi="宋体" w:eastAsia="宋体" w:cs="宋体"/>
          <w:spacing w:val="-9"/>
        </w:rPr>
        <w:t>中选人所提供的服务有不符合比选申请文件约定及本项目合同约定的，中选人应向比选人支付合同约定的违约金，并须在比选人规定的整改期限内改正，否则视作中选人不能履约而根本违约。</w:t>
      </w:r>
    </w:p>
    <w:p w14:paraId="261CB67A">
      <w:pPr>
        <w:numPr>
          <w:ilvl w:val="0"/>
          <w:numId w:val="3"/>
        </w:numPr>
        <w:spacing w:line="480" w:lineRule="exact"/>
        <w:ind w:firstLine="384" w:firstLineChars="200"/>
        <w:rPr>
          <w:rFonts w:ascii="宋体" w:hAnsi="宋体" w:eastAsia="宋体" w:cs="宋体"/>
          <w:spacing w:val="-9"/>
        </w:rPr>
      </w:pPr>
      <w:r>
        <w:rPr>
          <w:rFonts w:hint="eastAsia" w:ascii="宋体" w:hAnsi="宋体" w:eastAsia="宋体" w:cs="宋体"/>
          <w:spacing w:val="-9"/>
        </w:rPr>
        <w:t>中选人不能履约而违约的，应至少提前两个月告知比选人，比选人有权终止合同，并须全额退还比选人已经付给中选人的款项及其利息，并追究其违约责任。</w:t>
      </w:r>
    </w:p>
    <w:p w14:paraId="767555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（3）中选人偿付的违约金不足以弥补比选人损失的，还应按比选人损失尚未弥补的部分，支付赔偿金给比选人。</w:t>
      </w:r>
    </w:p>
    <w:p w14:paraId="61F2D89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因中选人管理不善或操作不当等原因造成比选人、中选人或第三方人身、财产损失或其它安全生产事故的，由中选人承担责任并负责善后处理，造成比选人经济损失的，中选人应给予比选人经济赔偿。产生事故的直接原因，以相关主管部门的鉴定为准。</w:t>
      </w:r>
    </w:p>
    <w:p w14:paraId="4B7D8B02">
      <w:pPr>
        <w:spacing w:line="480" w:lineRule="exact"/>
        <w:ind w:left="1320" w:firstLine="462" w:firstLineChars="200"/>
        <w:rPr>
          <w:rFonts w:ascii="宋体" w:hAnsi="宋体" w:eastAsia="宋体" w:cs="宋体"/>
          <w:b/>
          <w:bCs/>
          <w:spacing w:val="10"/>
        </w:rPr>
      </w:pPr>
    </w:p>
    <w:p w14:paraId="63C7387C">
      <w:pPr>
        <w:spacing w:before="96" w:line="219" w:lineRule="auto"/>
        <w:ind w:left="1320"/>
        <w:rPr>
          <w:rFonts w:ascii="宋体" w:hAnsi="宋体" w:eastAsia="宋体" w:cs="宋体"/>
          <w:b/>
          <w:bCs/>
          <w:spacing w:val="10"/>
          <w:sz w:val="32"/>
          <w:szCs w:val="32"/>
        </w:rPr>
      </w:pPr>
    </w:p>
    <w:p w14:paraId="49EC17E4">
      <w:pPr>
        <w:spacing w:before="96" w:line="219" w:lineRule="auto"/>
        <w:ind w:left="1320"/>
        <w:rPr>
          <w:rFonts w:ascii="宋体" w:hAnsi="宋体" w:eastAsia="宋体" w:cs="宋体"/>
          <w:b/>
          <w:bCs/>
          <w:spacing w:val="10"/>
          <w:sz w:val="32"/>
          <w:szCs w:val="32"/>
        </w:rPr>
      </w:pPr>
    </w:p>
    <w:p w14:paraId="5BC4E03E">
      <w:pPr>
        <w:pStyle w:val="8"/>
        <w:rPr>
          <w:rFonts w:cs="宋体"/>
          <w:b/>
          <w:bCs/>
          <w:spacing w:val="10"/>
          <w:sz w:val="32"/>
          <w:szCs w:val="32"/>
        </w:rPr>
      </w:pPr>
    </w:p>
    <w:p w14:paraId="3F6FE1A1"/>
    <w:p w14:paraId="64CE02F5">
      <w:pPr>
        <w:spacing w:before="96" w:line="219" w:lineRule="auto"/>
        <w:rPr>
          <w:rFonts w:ascii="宋体" w:hAnsi="宋体" w:eastAsia="宋体" w:cs="宋体"/>
          <w:b/>
          <w:bCs/>
          <w:spacing w:val="10"/>
          <w:sz w:val="32"/>
          <w:szCs w:val="32"/>
        </w:rPr>
      </w:pPr>
    </w:p>
    <w:p w14:paraId="69535EDB">
      <w:pPr>
        <w:pStyle w:val="2"/>
        <w:rPr>
          <w:rFonts w:ascii="宋体" w:hAnsi="宋体" w:cs="宋体"/>
          <w:b/>
          <w:bCs/>
          <w:spacing w:val="10"/>
          <w:sz w:val="32"/>
          <w:szCs w:val="32"/>
        </w:rPr>
      </w:pPr>
    </w:p>
    <w:p w14:paraId="2986F7C3">
      <w:pPr>
        <w:rPr>
          <w:rFonts w:ascii="宋体" w:hAnsi="宋体" w:eastAsia="宋体" w:cs="宋体"/>
          <w:b/>
          <w:bCs/>
          <w:spacing w:val="10"/>
          <w:sz w:val="32"/>
          <w:szCs w:val="32"/>
        </w:rPr>
      </w:pPr>
    </w:p>
    <w:p w14:paraId="37017F05">
      <w:pPr>
        <w:pStyle w:val="2"/>
        <w:rPr>
          <w:rFonts w:ascii="宋体" w:hAnsi="宋体" w:cs="宋体"/>
          <w:b/>
          <w:bCs/>
          <w:spacing w:val="10"/>
          <w:sz w:val="32"/>
          <w:szCs w:val="32"/>
        </w:rPr>
      </w:pPr>
    </w:p>
    <w:p w14:paraId="304D7CC2">
      <w:pPr>
        <w:pStyle w:val="2"/>
      </w:pPr>
    </w:p>
    <w:p w14:paraId="22991D0F">
      <w:pPr>
        <w:rPr>
          <w:rFonts w:eastAsiaTheme="minorEastAsia"/>
        </w:rPr>
      </w:pPr>
    </w:p>
    <w:p w14:paraId="3D1095BC">
      <w:pPr>
        <w:pStyle w:val="2"/>
      </w:pPr>
    </w:p>
    <w:p w14:paraId="66614539">
      <w:pPr>
        <w:rPr>
          <w:rFonts w:eastAsiaTheme="minorEastAsia"/>
        </w:rPr>
      </w:pPr>
    </w:p>
    <w:p w14:paraId="71B41AB8">
      <w:pPr>
        <w:pStyle w:val="2"/>
      </w:pPr>
    </w:p>
    <w:p w14:paraId="58B8267D">
      <w:pPr>
        <w:rPr>
          <w:rFonts w:eastAsiaTheme="minorEastAsia"/>
        </w:rPr>
      </w:pPr>
    </w:p>
    <w:p w14:paraId="1F8CE2C0">
      <w:pPr>
        <w:pStyle w:val="2"/>
      </w:pPr>
    </w:p>
    <w:p w14:paraId="27E90D04">
      <w:pPr>
        <w:rPr>
          <w:rFonts w:eastAsiaTheme="minorEastAsia"/>
        </w:rPr>
      </w:pPr>
    </w:p>
    <w:p w14:paraId="307CD4B3">
      <w:pPr>
        <w:pStyle w:val="2"/>
      </w:pPr>
    </w:p>
    <w:p w14:paraId="0A344ADD"/>
    <w:p w14:paraId="76899E85">
      <w:pPr>
        <w:pStyle w:val="2"/>
      </w:pPr>
    </w:p>
    <w:p w14:paraId="0787FD59"/>
    <w:p w14:paraId="55FC54DF">
      <w:pPr>
        <w:pStyle w:val="2"/>
      </w:pPr>
    </w:p>
    <w:p w14:paraId="126CB354"/>
    <w:p w14:paraId="5B389B68">
      <w:pPr>
        <w:pStyle w:val="2"/>
      </w:pPr>
    </w:p>
    <w:p w14:paraId="56F4C22F"/>
    <w:p w14:paraId="2CA0C5B2">
      <w:pPr>
        <w:pStyle w:val="2"/>
      </w:pPr>
    </w:p>
    <w:p w14:paraId="2A46A245"/>
    <w:p w14:paraId="7A86D2AC">
      <w:pPr>
        <w:pStyle w:val="2"/>
      </w:pPr>
    </w:p>
    <w:p w14:paraId="35707689"/>
    <w:p w14:paraId="7E10901C">
      <w:pPr>
        <w:pStyle w:val="2"/>
      </w:pPr>
    </w:p>
    <w:p w14:paraId="3E85A5AD"/>
    <w:p w14:paraId="5C72B5AF">
      <w:pPr>
        <w:pStyle w:val="2"/>
      </w:pPr>
    </w:p>
    <w:p w14:paraId="3FB4EF1E">
      <w:pPr>
        <w:rPr>
          <w:rFonts w:eastAsiaTheme="minorEastAsia"/>
        </w:rPr>
      </w:pPr>
    </w:p>
    <w:p w14:paraId="63BA68C6">
      <w:pPr>
        <w:spacing w:before="96" w:line="219" w:lineRule="auto"/>
        <w:jc w:val="center"/>
        <w:outlineLvl w:val="0"/>
        <w:rPr>
          <w:rFonts w:ascii="黑体" w:hAnsi="黑体" w:eastAsia="黑体" w:cs="黑体"/>
          <w:sz w:val="44"/>
          <w:szCs w:val="44"/>
        </w:rPr>
      </w:pPr>
      <w:r>
        <w:rPr>
          <w:rFonts w:hint="eastAsia" w:ascii="黑体" w:hAnsi="黑体" w:eastAsia="黑体" w:cs="黑体"/>
          <w:spacing w:val="10"/>
          <w:sz w:val="44"/>
          <w:szCs w:val="44"/>
        </w:rPr>
        <w:t>第六章 比选申请文件格式</w:t>
      </w:r>
      <w:bookmarkEnd w:id="43"/>
    </w:p>
    <w:p w14:paraId="512A9407">
      <w:pPr>
        <w:pStyle w:val="2"/>
      </w:pPr>
    </w:p>
    <w:p w14:paraId="53565E18">
      <w:pPr>
        <w:rPr>
          <w:rFonts w:eastAsiaTheme="minorEastAsia"/>
        </w:rPr>
      </w:pPr>
    </w:p>
    <w:p w14:paraId="4296876A">
      <w:pPr>
        <w:pStyle w:val="2"/>
      </w:pPr>
    </w:p>
    <w:p w14:paraId="751A2507">
      <w:pPr>
        <w:rPr>
          <w:rFonts w:eastAsiaTheme="minorEastAsia"/>
        </w:rPr>
      </w:pPr>
    </w:p>
    <w:p w14:paraId="053F3248">
      <w:pPr>
        <w:pStyle w:val="2"/>
      </w:pPr>
    </w:p>
    <w:p w14:paraId="13FF0623">
      <w:pPr>
        <w:rPr>
          <w:rFonts w:eastAsiaTheme="minorEastAsia"/>
        </w:rPr>
      </w:pPr>
    </w:p>
    <w:p w14:paraId="7C2C7653">
      <w:pPr>
        <w:pStyle w:val="2"/>
      </w:pPr>
    </w:p>
    <w:p w14:paraId="5DBD46D1">
      <w:pPr>
        <w:rPr>
          <w:rFonts w:eastAsiaTheme="minorEastAsia"/>
        </w:rPr>
      </w:pPr>
    </w:p>
    <w:p w14:paraId="07C72F16">
      <w:pPr>
        <w:pStyle w:val="2"/>
      </w:pPr>
    </w:p>
    <w:p w14:paraId="506E9102">
      <w:pPr>
        <w:rPr>
          <w:rFonts w:eastAsiaTheme="minorEastAsia"/>
        </w:rPr>
      </w:pPr>
    </w:p>
    <w:p w14:paraId="451C4696">
      <w:pPr>
        <w:pStyle w:val="2"/>
      </w:pPr>
    </w:p>
    <w:p w14:paraId="68A6E723">
      <w:pPr>
        <w:rPr>
          <w:rFonts w:eastAsiaTheme="minorEastAsia"/>
        </w:rPr>
      </w:pPr>
    </w:p>
    <w:p w14:paraId="58D8340A">
      <w:pPr>
        <w:pStyle w:val="2"/>
      </w:pPr>
    </w:p>
    <w:p w14:paraId="2FFF5D67">
      <w:pPr>
        <w:rPr>
          <w:rFonts w:eastAsiaTheme="minorEastAsia"/>
        </w:rPr>
      </w:pPr>
    </w:p>
    <w:p w14:paraId="437791E1">
      <w:pPr>
        <w:pStyle w:val="2"/>
      </w:pPr>
    </w:p>
    <w:p w14:paraId="399C74B6">
      <w:pPr>
        <w:rPr>
          <w:rFonts w:eastAsiaTheme="minorEastAsia"/>
        </w:rPr>
      </w:pPr>
    </w:p>
    <w:p w14:paraId="6C58EB67">
      <w:pPr>
        <w:pStyle w:val="2"/>
      </w:pPr>
    </w:p>
    <w:p w14:paraId="3C50EC6A">
      <w:pPr>
        <w:rPr>
          <w:rFonts w:eastAsiaTheme="minorEastAsia"/>
        </w:rPr>
      </w:pPr>
    </w:p>
    <w:p w14:paraId="1337F574">
      <w:pPr>
        <w:pStyle w:val="2"/>
      </w:pPr>
    </w:p>
    <w:p w14:paraId="092AD983">
      <w:pPr>
        <w:rPr>
          <w:rFonts w:eastAsiaTheme="minorEastAsia"/>
        </w:rPr>
      </w:pPr>
    </w:p>
    <w:p w14:paraId="53A1EB28">
      <w:pPr>
        <w:pStyle w:val="2"/>
      </w:pPr>
    </w:p>
    <w:p w14:paraId="7D3DABFF">
      <w:pPr>
        <w:rPr>
          <w:rFonts w:eastAsiaTheme="minorEastAsia"/>
        </w:rPr>
      </w:pPr>
    </w:p>
    <w:p w14:paraId="404CDCED">
      <w:pPr>
        <w:pStyle w:val="2"/>
      </w:pPr>
    </w:p>
    <w:p w14:paraId="1F5364E5">
      <w:pPr>
        <w:rPr>
          <w:rFonts w:eastAsiaTheme="minorEastAsia"/>
        </w:rPr>
      </w:pPr>
    </w:p>
    <w:p w14:paraId="48A3E19D">
      <w:pPr>
        <w:pStyle w:val="2"/>
      </w:pPr>
    </w:p>
    <w:p w14:paraId="66F1C6BE">
      <w:pPr>
        <w:pStyle w:val="2"/>
      </w:pPr>
    </w:p>
    <w:p w14:paraId="53A62E34">
      <w:pPr>
        <w:pStyle w:val="2"/>
        <w:spacing w:line="720" w:lineRule="exact"/>
        <w:jc w:val="center"/>
        <w:rPr>
          <w:rFonts w:hint="eastAsia" w:ascii="黑体" w:hAnsi="黑体" w:eastAsia="黑体" w:cs="黑体"/>
          <w:spacing w:val="-11"/>
          <w:sz w:val="36"/>
          <w:szCs w:val="36"/>
        </w:rPr>
      </w:pPr>
      <w:r>
        <w:rPr>
          <w:rFonts w:hint="eastAsia" w:ascii="黑体" w:hAnsi="黑体" w:eastAsia="黑体" w:cs="黑体"/>
          <w:spacing w:val="-11"/>
          <w:sz w:val="36"/>
          <w:szCs w:val="36"/>
        </w:rPr>
        <w:t>绵阳管理处沿线职工食堂2025年度食材采购项目</w:t>
      </w:r>
    </w:p>
    <w:p w14:paraId="4C10C794">
      <w:pPr>
        <w:pStyle w:val="2"/>
        <w:spacing w:line="720" w:lineRule="exact"/>
        <w:jc w:val="center"/>
        <w:rPr>
          <w:rFonts w:hint="eastAsia" w:ascii="黑体" w:hAnsi="黑体" w:eastAsia="黑体" w:cs="黑体"/>
          <w:spacing w:val="-11"/>
          <w:sz w:val="36"/>
          <w:szCs w:val="36"/>
          <w:lang w:val="en-US" w:eastAsia="zh-CN"/>
        </w:rPr>
      </w:pPr>
      <w:r>
        <w:rPr>
          <w:rFonts w:hint="eastAsia" w:ascii="黑体" w:hAnsi="黑体" w:eastAsia="黑体" w:cs="黑体"/>
          <w:spacing w:val="-11"/>
          <w:sz w:val="36"/>
          <w:szCs w:val="36"/>
          <w:lang w:eastAsia="zh-CN"/>
        </w:rPr>
        <w:t>（</w:t>
      </w:r>
      <w:r>
        <w:rPr>
          <w:rFonts w:hint="eastAsia" w:ascii="黑体" w:hAnsi="黑体" w:eastAsia="黑体" w:cs="黑体"/>
          <w:spacing w:val="-11"/>
          <w:sz w:val="36"/>
          <w:szCs w:val="36"/>
          <w:lang w:val="en-US" w:eastAsia="zh-CN"/>
        </w:rPr>
        <w:t>第二次</w:t>
      </w:r>
      <w:r>
        <w:rPr>
          <w:rFonts w:hint="eastAsia" w:ascii="黑体" w:hAnsi="黑体" w:eastAsia="黑体" w:cs="黑体"/>
          <w:spacing w:val="-11"/>
          <w:sz w:val="36"/>
          <w:szCs w:val="36"/>
          <w:lang w:eastAsia="zh-CN"/>
        </w:rPr>
        <w:t>）</w:t>
      </w:r>
    </w:p>
    <w:p w14:paraId="491F8E50">
      <w:pPr>
        <w:rPr>
          <w:rFonts w:ascii="黑体" w:hAnsi="黑体" w:eastAsia="黑体" w:cs="黑体"/>
        </w:rPr>
      </w:pPr>
    </w:p>
    <w:p w14:paraId="7A34E88D">
      <w:pPr>
        <w:rPr>
          <w:rFonts w:ascii="黑体" w:hAnsi="黑体" w:eastAsia="黑体" w:cs="黑体"/>
        </w:rPr>
      </w:pPr>
    </w:p>
    <w:p w14:paraId="026BE3EC">
      <w:pPr>
        <w:rPr>
          <w:rFonts w:ascii="黑体" w:hAnsi="黑体" w:eastAsia="黑体" w:cs="黑体"/>
        </w:rPr>
      </w:pPr>
    </w:p>
    <w:p w14:paraId="58EC3EFA">
      <w:pPr>
        <w:rPr>
          <w:rFonts w:ascii="黑体" w:hAnsi="黑体" w:eastAsia="黑体" w:cs="黑体"/>
        </w:rPr>
      </w:pPr>
    </w:p>
    <w:p w14:paraId="2BAFF05F">
      <w:pPr>
        <w:rPr>
          <w:rFonts w:ascii="黑体" w:hAnsi="黑体" w:eastAsia="黑体" w:cs="黑体"/>
        </w:rPr>
      </w:pPr>
    </w:p>
    <w:p w14:paraId="4EA9D5C6">
      <w:pPr>
        <w:rPr>
          <w:rFonts w:ascii="黑体" w:hAnsi="黑体" w:eastAsia="黑体" w:cs="黑体"/>
        </w:rPr>
      </w:pPr>
    </w:p>
    <w:p w14:paraId="3D582DDB">
      <w:pPr>
        <w:pStyle w:val="2"/>
      </w:pPr>
    </w:p>
    <w:p w14:paraId="50B88AE0">
      <w:pPr>
        <w:rPr>
          <w:rFonts w:ascii="黑体" w:hAnsi="黑体" w:eastAsia="黑体" w:cs="黑体"/>
        </w:rPr>
      </w:pPr>
    </w:p>
    <w:p w14:paraId="751C481A">
      <w:pPr>
        <w:rPr>
          <w:rFonts w:ascii="黑体" w:hAnsi="黑体" w:eastAsia="黑体" w:cs="黑体"/>
        </w:rPr>
      </w:pPr>
    </w:p>
    <w:p w14:paraId="0E8288E7">
      <w:pPr>
        <w:rPr>
          <w:rFonts w:ascii="黑体" w:hAnsi="黑体" w:eastAsia="黑体" w:cs="黑体"/>
        </w:rPr>
      </w:pPr>
    </w:p>
    <w:p w14:paraId="7E05A275">
      <w:pPr>
        <w:rPr>
          <w:rFonts w:ascii="黑体" w:hAnsi="黑体" w:eastAsia="黑体" w:cs="黑体"/>
        </w:rPr>
      </w:pPr>
    </w:p>
    <w:p w14:paraId="627B2805">
      <w:pPr>
        <w:pStyle w:val="2"/>
      </w:pPr>
    </w:p>
    <w:p w14:paraId="1DA8D79D">
      <w:pPr>
        <w:rPr>
          <w:rFonts w:ascii="黑体" w:hAnsi="黑体" w:eastAsia="黑体" w:cs="黑体"/>
        </w:rPr>
      </w:pPr>
    </w:p>
    <w:p w14:paraId="2F9CB914">
      <w:pPr>
        <w:spacing w:before="302" w:line="219" w:lineRule="auto"/>
        <w:jc w:val="center"/>
        <w:rPr>
          <w:rFonts w:ascii="黑体" w:hAnsi="黑体" w:eastAsia="黑体" w:cs="黑体"/>
          <w:sz w:val="84"/>
          <w:szCs w:val="84"/>
        </w:rPr>
      </w:pPr>
      <w:bookmarkStart w:id="45" w:name="_Toc7858_WPSOffice_Level1"/>
      <w:bookmarkStart w:id="46" w:name="_Toc31070_WPSOffice_Level1"/>
      <w:bookmarkStart w:id="47" w:name="_Toc513_WPSOffice_Level1"/>
      <w:bookmarkStart w:id="48" w:name="_Toc164_WPSOffice_Level1"/>
      <w:bookmarkStart w:id="49" w:name="_Toc29645_WPSOffice_Level1"/>
      <w:r>
        <w:rPr>
          <w:rFonts w:hint="eastAsia" w:ascii="黑体" w:hAnsi="黑体" w:eastAsia="黑体" w:cs="黑体"/>
          <w:spacing w:val="-67"/>
          <w:sz w:val="84"/>
          <w:szCs w:val="84"/>
        </w:rPr>
        <w:t>比 选 申 请 文 件</w:t>
      </w:r>
      <w:bookmarkEnd w:id="45"/>
      <w:bookmarkEnd w:id="46"/>
      <w:bookmarkEnd w:id="47"/>
      <w:bookmarkEnd w:id="48"/>
      <w:bookmarkEnd w:id="49"/>
    </w:p>
    <w:p w14:paraId="71C64EBC">
      <w:pPr>
        <w:pStyle w:val="2"/>
        <w:spacing w:line="252" w:lineRule="auto"/>
        <w:rPr>
          <w:rFonts w:ascii="黑体" w:hAnsi="黑体" w:eastAsia="黑体" w:cs="黑体"/>
        </w:rPr>
      </w:pPr>
    </w:p>
    <w:p w14:paraId="4F48C88D">
      <w:pPr>
        <w:pStyle w:val="2"/>
        <w:spacing w:line="252" w:lineRule="auto"/>
        <w:rPr>
          <w:rFonts w:ascii="黑体" w:hAnsi="黑体" w:eastAsia="黑体" w:cs="黑体"/>
        </w:rPr>
      </w:pPr>
    </w:p>
    <w:p w14:paraId="37DF2E2E">
      <w:pPr>
        <w:pStyle w:val="2"/>
        <w:spacing w:line="252" w:lineRule="auto"/>
        <w:rPr>
          <w:rFonts w:ascii="黑体" w:hAnsi="黑体" w:eastAsia="黑体" w:cs="黑体"/>
        </w:rPr>
      </w:pPr>
    </w:p>
    <w:p w14:paraId="14121905">
      <w:pPr>
        <w:pStyle w:val="2"/>
        <w:spacing w:line="253" w:lineRule="auto"/>
        <w:rPr>
          <w:rFonts w:ascii="黑体" w:hAnsi="黑体" w:eastAsia="黑体" w:cs="黑体"/>
        </w:rPr>
      </w:pPr>
    </w:p>
    <w:p w14:paraId="4125AA89">
      <w:pPr>
        <w:pStyle w:val="2"/>
        <w:spacing w:line="253" w:lineRule="auto"/>
        <w:rPr>
          <w:rFonts w:ascii="黑体" w:hAnsi="黑体" w:eastAsia="黑体" w:cs="黑体"/>
        </w:rPr>
      </w:pPr>
    </w:p>
    <w:p w14:paraId="2729AC24">
      <w:pPr>
        <w:pStyle w:val="2"/>
        <w:spacing w:line="253" w:lineRule="auto"/>
        <w:rPr>
          <w:rFonts w:ascii="黑体" w:hAnsi="黑体" w:eastAsia="黑体" w:cs="黑体"/>
        </w:rPr>
      </w:pPr>
    </w:p>
    <w:p w14:paraId="521D8434">
      <w:pPr>
        <w:pStyle w:val="2"/>
        <w:spacing w:line="253" w:lineRule="auto"/>
        <w:rPr>
          <w:rFonts w:ascii="黑体" w:hAnsi="黑体" w:eastAsia="黑体" w:cs="黑体"/>
        </w:rPr>
      </w:pPr>
    </w:p>
    <w:p w14:paraId="1ED39FD3">
      <w:pPr>
        <w:rPr>
          <w:rFonts w:ascii="黑体" w:hAnsi="黑体" w:eastAsia="黑体" w:cs="黑体"/>
        </w:rPr>
      </w:pPr>
    </w:p>
    <w:p w14:paraId="3CD2DEAC">
      <w:pPr>
        <w:pStyle w:val="2"/>
      </w:pPr>
    </w:p>
    <w:p w14:paraId="5D103082">
      <w:pPr>
        <w:pStyle w:val="2"/>
        <w:spacing w:line="253" w:lineRule="auto"/>
        <w:rPr>
          <w:rFonts w:ascii="黑体" w:hAnsi="黑体" w:eastAsia="黑体" w:cs="黑体"/>
        </w:rPr>
      </w:pPr>
    </w:p>
    <w:p w14:paraId="7F123690"/>
    <w:p w14:paraId="0886CB30">
      <w:pPr>
        <w:pStyle w:val="2"/>
        <w:spacing w:line="253" w:lineRule="auto"/>
        <w:jc w:val="center"/>
        <w:rPr>
          <w:rFonts w:ascii="黑体" w:hAnsi="黑体" w:eastAsia="黑体" w:cs="黑体"/>
          <w:sz w:val="32"/>
          <w:szCs w:val="32"/>
        </w:rPr>
      </w:pPr>
    </w:p>
    <w:p w14:paraId="258B054C">
      <w:pPr>
        <w:spacing w:before="101" w:line="447" w:lineRule="auto"/>
        <w:ind w:right="1678"/>
        <w:jc w:val="center"/>
        <w:rPr>
          <w:rFonts w:ascii="黑体" w:hAnsi="黑体" w:eastAsia="黑体" w:cs="黑体"/>
          <w:spacing w:val="-5"/>
          <w:position w:val="-1"/>
          <w:sz w:val="32"/>
          <w:szCs w:val="32"/>
        </w:rPr>
      </w:pPr>
      <w:bookmarkStart w:id="50" w:name="_Toc22435_WPSOffice_Level1"/>
      <w:bookmarkStart w:id="51" w:name="_Toc18023_WPSOffice_Level1"/>
      <w:bookmarkStart w:id="52" w:name="_Toc7318_WPSOffice_Level1"/>
      <w:bookmarkStart w:id="53" w:name="_Toc15445_WPSOffice_Level1"/>
      <w:bookmarkStart w:id="54" w:name="_Toc10158_WPSOffice_Level1"/>
      <w:r>
        <w:rPr>
          <w:rFonts w:hint="eastAsia" w:ascii="黑体" w:hAnsi="黑体" w:eastAsia="黑体" w:cs="黑体"/>
          <w:spacing w:val="-5"/>
          <w:position w:val="-1"/>
          <w:sz w:val="32"/>
          <w:szCs w:val="32"/>
        </w:rPr>
        <w:t xml:space="preserve">        比选申请人： </w:t>
      </w:r>
      <w:r>
        <w:rPr>
          <w:rFonts w:hint="eastAsia" w:ascii="黑体" w:hAnsi="黑体" w:eastAsia="黑体" w:cs="黑体"/>
          <w:spacing w:val="-5"/>
          <w:position w:val="-1"/>
          <w:sz w:val="32"/>
          <w:szCs w:val="32"/>
          <w:u w:val="single"/>
        </w:rPr>
        <w:t xml:space="preserve">              （公章）</w:t>
      </w:r>
    </w:p>
    <w:p w14:paraId="02679BFF">
      <w:pPr>
        <w:spacing w:before="101" w:line="447" w:lineRule="auto"/>
        <w:ind w:right="1678"/>
        <w:jc w:val="center"/>
        <w:rPr>
          <w:rFonts w:ascii="黑体" w:hAnsi="黑体" w:eastAsia="黑体" w:cs="黑体"/>
          <w:spacing w:val="-5"/>
          <w:position w:val="-1"/>
          <w:sz w:val="32"/>
          <w:szCs w:val="32"/>
        </w:rPr>
      </w:pPr>
      <w:r>
        <w:rPr>
          <w:rFonts w:hint="eastAsia" w:ascii="黑体" w:hAnsi="黑体" w:eastAsia="黑体" w:cs="黑体"/>
          <w:spacing w:val="-5"/>
          <w:position w:val="-1"/>
          <w:sz w:val="32"/>
          <w:szCs w:val="32"/>
        </w:rPr>
        <w:t xml:space="preserve">        日期：      年     月     日</w:t>
      </w:r>
    </w:p>
    <w:bookmarkEnd w:id="50"/>
    <w:bookmarkEnd w:id="51"/>
    <w:bookmarkEnd w:id="52"/>
    <w:bookmarkEnd w:id="53"/>
    <w:bookmarkEnd w:id="54"/>
    <w:p w14:paraId="1F87ED7F">
      <w:pPr>
        <w:spacing w:before="85" w:line="221" w:lineRule="auto"/>
        <w:rPr>
          <w:rFonts w:ascii="黑体" w:hAnsi="黑体" w:eastAsia="黑体" w:cs="黑体"/>
          <w:spacing w:val="-33"/>
          <w:sz w:val="44"/>
          <w:szCs w:val="44"/>
        </w:rPr>
      </w:pPr>
      <w:bookmarkStart w:id="55" w:name="_Toc24234_WPSOffice_Level1"/>
      <w:bookmarkStart w:id="56" w:name="_Toc1929_WPSOffice_Level1"/>
      <w:bookmarkStart w:id="57" w:name="_Toc5855_WPSOffice_Level1"/>
      <w:bookmarkStart w:id="58" w:name="_Toc13965_WPSOffice_Level1"/>
      <w:bookmarkStart w:id="59" w:name="_Toc1854_WPSOffice_Level1"/>
    </w:p>
    <w:p w14:paraId="2A6091AB">
      <w:pPr>
        <w:spacing w:before="85" w:line="221" w:lineRule="auto"/>
        <w:rPr>
          <w:rFonts w:ascii="黑体" w:hAnsi="黑体" w:eastAsia="黑体" w:cs="黑体"/>
          <w:spacing w:val="-33"/>
          <w:sz w:val="44"/>
          <w:szCs w:val="44"/>
        </w:rPr>
      </w:pPr>
    </w:p>
    <w:p w14:paraId="2A46DC4E">
      <w:pPr>
        <w:pStyle w:val="2"/>
      </w:pPr>
    </w:p>
    <w:p w14:paraId="4D2627EE">
      <w:pPr>
        <w:rPr>
          <w:rFonts w:eastAsiaTheme="minorEastAsia"/>
        </w:rPr>
      </w:pPr>
    </w:p>
    <w:p w14:paraId="2E0915FB">
      <w:pPr>
        <w:spacing w:before="85" w:line="221" w:lineRule="auto"/>
        <w:rPr>
          <w:rFonts w:ascii="黑体" w:hAnsi="黑体" w:eastAsia="黑体" w:cs="黑体"/>
          <w:spacing w:val="-33"/>
          <w:sz w:val="44"/>
          <w:szCs w:val="44"/>
        </w:rPr>
      </w:pPr>
    </w:p>
    <w:p w14:paraId="1C6F940C">
      <w:pPr>
        <w:pStyle w:val="2"/>
      </w:pPr>
    </w:p>
    <w:p w14:paraId="76972633">
      <w:pPr>
        <w:spacing w:before="85" w:line="221" w:lineRule="auto"/>
        <w:jc w:val="center"/>
        <w:rPr>
          <w:rFonts w:ascii="黑体" w:hAnsi="黑体" w:eastAsia="黑体" w:cs="黑体"/>
          <w:sz w:val="44"/>
          <w:szCs w:val="44"/>
        </w:rPr>
      </w:pPr>
      <w:r>
        <w:rPr>
          <w:rFonts w:hint="eastAsia" w:ascii="黑体" w:hAnsi="黑体" w:eastAsia="黑体" w:cs="黑体"/>
          <w:spacing w:val="-33"/>
          <w:sz w:val="44"/>
          <w:szCs w:val="44"/>
        </w:rPr>
        <w:t>目</w:t>
      </w:r>
      <w:r>
        <w:rPr>
          <w:rFonts w:hint="eastAsia" w:ascii="黑体" w:hAnsi="黑体" w:eastAsia="黑体" w:cs="黑体"/>
          <w:spacing w:val="16"/>
          <w:sz w:val="44"/>
          <w:szCs w:val="44"/>
        </w:rPr>
        <w:t xml:space="preserve">   </w:t>
      </w:r>
      <w:r>
        <w:rPr>
          <w:rFonts w:hint="eastAsia" w:ascii="黑体" w:hAnsi="黑体" w:eastAsia="黑体" w:cs="黑体"/>
          <w:spacing w:val="-33"/>
          <w:sz w:val="44"/>
          <w:szCs w:val="44"/>
        </w:rPr>
        <w:t>录</w:t>
      </w:r>
      <w:bookmarkEnd w:id="55"/>
      <w:bookmarkEnd w:id="56"/>
      <w:bookmarkEnd w:id="57"/>
      <w:bookmarkEnd w:id="58"/>
      <w:bookmarkEnd w:id="59"/>
    </w:p>
    <w:p w14:paraId="3316B45B">
      <w:pPr>
        <w:spacing w:line="960" w:lineRule="exact"/>
        <w:rPr>
          <w:rFonts w:ascii="黑体" w:hAnsi="黑体" w:eastAsia="黑体" w:cs="黑体"/>
          <w:spacing w:val="7"/>
          <w:sz w:val="44"/>
          <w:szCs w:val="44"/>
        </w:rPr>
      </w:pPr>
      <w:bookmarkStart w:id="60" w:name="_Toc20585_WPSOffice_Level1"/>
      <w:bookmarkStart w:id="61" w:name="_Toc28720_WPSOffice_Level1"/>
      <w:bookmarkStart w:id="62" w:name="_Toc2150_WPSOffice_Level1"/>
      <w:bookmarkStart w:id="63" w:name="_Toc19550_WPSOffice_Level1"/>
      <w:bookmarkStart w:id="64" w:name="_Toc22508_WPSOffice_Level1"/>
    </w:p>
    <w:p w14:paraId="79B66641">
      <w:pPr>
        <w:spacing w:line="720" w:lineRule="exact"/>
        <w:ind w:left="334"/>
        <w:rPr>
          <w:rFonts w:ascii="黑体" w:hAnsi="黑体" w:eastAsia="黑体" w:cs="黑体"/>
          <w:sz w:val="32"/>
          <w:szCs w:val="32"/>
        </w:rPr>
      </w:pPr>
      <w:r>
        <w:rPr>
          <w:rFonts w:hint="eastAsia" w:ascii="黑体" w:hAnsi="黑体" w:eastAsia="黑体" w:cs="黑体"/>
          <w:spacing w:val="7"/>
          <w:sz w:val="32"/>
          <w:szCs w:val="32"/>
        </w:rPr>
        <w:t>一、报价函；</w:t>
      </w:r>
      <w:bookmarkEnd w:id="60"/>
      <w:bookmarkEnd w:id="61"/>
      <w:bookmarkEnd w:id="62"/>
      <w:bookmarkEnd w:id="63"/>
      <w:bookmarkEnd w:id="64"/>
    </w:p>
    <w:p w14:paraId="3F7C2CEE">
      <w:pPr>
        <w:spacing w:line="720" w:lineRule="exact"/>
        <w:ind w:left="334"/>
        <w:rPr>
          <w:rFonts w:ascii="黑体" w:hAnsi="黑体" w:eastAsia="黑体" w:cs="黑体"/>
          <w:sz w:val="32"/>
          <w:szCs w:val="32"/>
        </w:rPr>
      </w:pPr>
      <w:bookmarkStart w:id="65" w:name="_Toc17449_WPSOffice_Level1"/>
      <w:bookmarkStart w:id="66" w:name="_Toc26432_WPSOffice_Level1"/>
      <w:bookmarkStart w:id="67" w:name="_Toc16877_WPSOffice_Level1"/>
      <w:bookmarkStart w:id="68" w:name="_Toc17758_WPSOffice_Level1"/>
      <w:bookmarkStart w:id="69" w:name="_Toc15027_WPSOffice_Level1"/>
      <w:r>
        <w:rPr>
          <w:rFonts w:hint="eastAsia" w:ascii="黑体" w:hAnsi="黑体" w:eastAsia="黑体" w:cs="黑体"/>
          <w:spacing w:val="5"/>
          <w:sz w:val="32"/>
          <w:szCs w:val="32"/>
        </w:rPr>
        <w:t>二、法定代表人身份证明或授权委托书；</w:t>
      </w:r>
      <w:bookmarkEnd w:id="65"/>
      <w:bookmarkEnd w:id="66"/>
      <w:bookmarkEnd w:id="67"/>
      <w:bookmarkEnd w:id="68"/>
      <w:bookmarkEnd w:id="69"/>
    </w:p>
    <w:p w14:paraId="5DE671A3">
      <w:pPr>
        <w:spacing w:line="720" w:lineRule="exact"/>
        <w:ind w:left="334"/>
        <w:rPr>
          <w:rFonts w:ascii="黑体" w:hAnsi="黑体" w:eastAsia="黑体" w:cs="黑体"/>
          <w:sz w:val="32"/>
          <w:szCs w:val="32"/>
        </w:rPr>
      </w:pPr>
      <w:bookmarkStart w:id="70" w:name="_Toc26016_WPSOffice_Level1"/>
      <w:bookmarkStart w:id="71" w:name="_Toc13688_WPSOffice_Level1"/>
      <w:bookmarkStart w:id="72" w:name="_Toc18910_WPSOffice_Level1"/>
      <w:bookmarkStart w:id="73" w:name="_Toc10042_WPSOffice_Level1"/>
      <w:bookmarkStart w:id="74" w:name="_Toc24237_WPSOffice_Level1"/>
      <w:r>
        <w:rPr>
          <w:rFonts w:hint="eastAsia" w:ascii="黑体" w:hAnsi="黑体" w:eastAsia="黑体" w:cs="黑体"/>
          <w:spacing w:val="7"/>
          <w:sz w:val="32"/>
          <w:szCs w:val="32"/>
        </w:rPr>
        <w:t>三、资格审查资料；</w:t>
      </w:r>
      <w:bookmarkEnd w:id="70"/>
      <w:bookmarkEnd w:id="71"/>
      <w:bookmarkEnd w:id="72"/>
      <w:bookmarkEnd w:id="73"/>
      <w:bookmarkEnd w:id="74"/>
    </w:p>
    <w:p w14:paraId="4AD0A000">
      <w:pPr>
        <w:spacing w:line="720" w:lineRule="exact"/>
        <w:ind w:left="334"/>
        <w:rPr>
          <w:rFonts w:ascii="黑体" w:hAnsi="黑体" w:eastAsia="黑体" w:cs="黑体"/>
          <w:sz w:val="32"/>
          <w:szCs w:val="32"/>
        </w:rPr>
      </w:pPr>
      <w:bookmarkStart w:id="75" w:name="_Toc16177_WPSOffice_Level1"/>
      <w:bookmarkStart w:id="76" w:name="_Toc19368_WPSOffice_Level1"/>
      <w:bookmarkStart w:id="77" w:name="_Toc22994_WPSOffice_Level1"/>
      <w:bookmarkStart w:id="78" w:name="_Toc26241_WPSOffice_Level1"/>
      <w:bookmarkStart w:id="79" w:name="_Toc8720_WPSOffice_Level1"/>
      <w:r>
        <w:rPr>
          <w:rFonts w:hint="eastAsia" w:ascii="黑体" w:hAnsi="黑体" w:eastAsia="黑体" w:cs="黑体"/>
          <w:spacing w:val="7"/>
          <w:sz w:val="32"/>
          <w:szCs w:val="32"/>
        </w:rPr>
        <w:t>四、服务方案；</w:t>
      </w:r>
      <w:bookmarkEnd w:id="75"/>
      <w:bookmarkEnd w:id="76"/>
      <w:bookmarkEnd w:id="77"/>
      <w:bookmarkEnd w:id="78"/>
      <w:bookmarkEnd w:id="79"/>
    </w:p>
    <w:p w14:paraId="03E9AC12">
      <w:pPr>
        <w:spacing w:line="720" w:lineRule="exact"/>
        <w:ind w:left="334"/>
        <w:rPr>
          <w:rFonts w:ascii="黑体" w:hAnsi="黑体" w:eastAsia="黑体" w:cs="黑体"/>
          <w:spacing w:val="31"/>
          <w:sz w:val="32"/>
          <w:szCs w:val="32"/>
        </w:rPr>
      </w:pPr>
      <w:bookmarkStart w:id="80" w:name="_Toc22473_WPSOffice_Level1"/>
      <w:bookmarkStart w:id="81" w:name="_Toc30968_WPSOffice_Level1"/>
      <w:bookmarkStart w:id="82" w:name="_Toc22815_WPSOffice_Level1"/>
      <w:bookmarkStart w:id="83" w:name="_Toc7520_WPSOffice_Level1"/>
      <w:bookmarkStart w:id="84" w:name="_Toc4614_WPSOffice_Level1"/>
      <w:r>
        <w:rPr>
          <w:rFonts w:hint="eastAsia" w:ascii="黑体" w:hAnsi="黑体" w:eastAsia="黑体" w:cs="黑体"/>
          <w:spacing w:val="31"/>
          <w:sz w:val="32"/>
          <w:szCs w:val="32"/>
        </w:rPr>
        <w:t>五、其他资料(如有)。</w:t>
      </w:r>
      <w:bookmarkEnd w:id="80"/>
      <w:bookmarkEnd w:id="81"/>
      <w:bookmarkEnd w:id="82"/>
      <w:bookmarkEnd w:id="83"/>
      <w:bookmarkEnd w:id="84"/>
    </w:p>
    <w:p w14:paraId="7D1C6E6E">
      <w:pPr>
        <w:spacing w:before="230" w:line="220" w:lineRule="auto"/>
        <w:ind w:left="333"/>
        <w:rPr>
          <w:rFonts w:ascii="宋体" w:hAnsi="宋体" w:eastAsia="宋体" w:cs="宋体"/>
          <w:spacing w:val="31"/>
          <w:sz w:val="26"/>
          <w:szCs w:val="26"/>
        </w:rPr>
      </w:pPr>
    </w:p>
    <w:p w14:paraId="0E471B91">
      <w:pPr>
        <w:spacing w:before="230" w:line="220" w:lineRule="auto"/>
        <w:ind w:left="333"/>
        <w:rPr>
          <w:rFonts w:ascii="宋体" w:hAnsi="宋体" w:eastAsia="宋体" w:cs="宋体"/>
          <w:spacing w:val="31"/>
          <w:sz w:val="26"/>
          <w:szCs w:val="26"/>
        </w:rPr>
      </w:pPr>
    </w:p>
    <w:p w14:paraId="796B5DA7">
      <w:pPr>
        <w:spacing w:before="230" w:line="220" w:lineRule="auto"/>
        <w:ind w:left="333"/>
        <w:rPr>
          <w:rFonts w:ascii="宋体" w:hAnsi="宋体" w:eastAsia="宋体" w:cs="宋体"/>
          <w:spacing w:val="31"/>
          <w:sz w:val="26"/>
          <w:szCs w:val="26"/>
        </w:rPr>
      </w:pPr>
    </w:p>
    <w:p w14:paraId="2CD01008">
      <w:pPr>
        <w:spacing w:before="230" w:line="220" w:lineRule="auto"/>
        <w:ind w:left="333"/>
        <w:rPr>
          <w:rFonts w:ascii="宋体" w:hAnsi="宋体" w:eastAsia="宋体" w:cs="宋体"/>
          <w:spacing w:val="31"/>
          <w:sz w:val="26"/>
          <w:szCs w:val="26"/>
        </w:rPr>
      </w:pPr>
    </w:p>
    <w:p w14:paraId="5EF899FD">
      <w:pPr>
        <w:spacing w:before="230" w:line="220" w:lineRule="auto"/>
        <w:ind w:left="333"/>
        <w:rPr>
          <w:rFonts w:ascii="宋体" w:hAnsi="宋体" w:eastAsia="宋体" w:cs="宋体"/>
          <w:spacing w:val="31"/>
          <w:sz w:val="26"/>
          <w:szCs w:val="26"/>
        </w:rPr>
      </w:pPr>
    </w:p>
    <w:p w14:paraId="1E12E8E2">
      <w:pPr>
        <w:pStyle w:val="2"/>
        <w:rPr>
          <w:rFonts w:ascii="宋体" w:hAnsi="宋体" w:eastAsia="宋体" w:cs="宋体"/>
          <w:spacing w:val="31"/>
          <w:sz w:val="26"/>
          <w:szCs w:val="26"/>
        </w:rPr>
      </w:pPr>
    </w:p>
    <w:p w14:paraId="3146CE35">
      <w:pPr>
        <w:rPr>
          <w:rFonts w:ascii="宋体" w:hAnsi="宋体" w:eastAsia="宋体" w:cs="宋体"/>
          <w:spacing w:val="31"/>
          <w:sz w:val="26"/>
          <w:szCs w:val="26"/>
        </w:rPr>
      </w:pPr>
    </w:p>
    <w:p w14:paraId="26AE60DE">
      <w:pPr>
        <w:pStyle w:val="2"/>
        <w:rPr>
          <w:rFonts w:ascii="宋体" w:hAnsi="宋体" w:eastAsia="宋体" w:cs="宋体"/>
          <w:spacing w:val="31"/>
          <w:sz w:val="26"/>
          <w:szCs w:val="26"/>
        </w:rPr>
      </w:pPr>
    </w:p>
    <w:p w14:paraId="5140A41D">
      <w:pPr>
        <w:rPr>
          <w:rFonts w:ascii="宋体" w:hAnsi="宋体" w:eastAsia="宋体" w:cs="宋体"/>
          <w:spacing w:val="31"/>
          <w:sz w:val="26"/>
          <w:szCs w:val="26"/>
        </w:rPr>
      </w:pPr>
    </w:p>
    <w:p w14:paraId="37E84B66">
      <w:pPr>
        <w:pStyle w:val="2"/>
      </w:pPr>
    </w:p>
    <w:p w14:paraId="73B84043"/>
    <w:p w14:paraId="1C4CE4C8">
      <w:pPr>
        <w:pStyle w:val="2"/>
      </w:pPr>
    </w:p>
    <w:p w14:paraId="5929021D">
      <w:pPr>
        <w:spacing w:before="135" w:line="480" w:lineRule="exact"/>
        <w:jc w:val="center"/>
        <w:rPr>
          <w:rFonts w:hint="eastAsia" w:ascii="黑体" w:hAnsi="黑体" w:eastAsia="黑体" w:cs="黑体"/>
          <w:spacing w:val="-17"/>
          <w:sz w:val="32"/>
          <w:szCs w:val="32"/>
        </w:rPr>
      </w:pPr>
      <w:bookmarkStart w:id="85" w:name="_Toc7561_WPSOffice_Level1"/>
      <w:bookmarkStart w:id="86" w:name="_Toc21247_WPSOffice_Level1"/>
      <w:bookmarkStart w:id="87" w:name="_Toc13943_WPSOffice_Level1"/>
      <w:bookmarkStart w:id="88" w:name="_Toc17266_WPSOffice_Level1"/>
      <w:bookmarkStart w:id="89" w:name="_Toc26345_WPSOffice_Level1"/>
    </w:p>
    <w:p w14:paraId="0E0C32F2">
      <w:pPr>
        <w:spacing w:before="135" w:line="480" w:lineRule="exact"/>
        <w:jc w:val="center"/>
        <w:rPr>
          <w:rFonts w:ascii="黑体" w:hAnsi="黑体" w:eastAsia="黑体" w:cs="黑体"/>
          <w:sz w:val="32"/>
          <w:szCs w:val="32"/>
        </w:rPr>
      </w:pPr>
      <w:r>
        <w:rPr>
          <w:rFonts w:hint="eastAsia" w:ascii="黑体" w:hAnsi="黑体" w:eastAsia="黑体" w:cs="黑体"/>
          <w:spacing w:val="-17"/>
          <w:sz w:val="32"/>
          <w:szCs w:val="32"/>
        </w:rPr>
        <w:t>一、第一（第二/第三）报价函</w:t>
      </w:r>
      <w:bookmarkEnd w:id="85"/>
      <w:bookmarkEnd w:id="86"/>
      <w:bookmarkEnd w:id="87"/>
      <w:bookmarkEnd w:id="88"/>
      <w:bookmarkEnd w:id="89"/>
    </w:p>
    <w:p w14:paraId="709262FF">
      <w:pPr>
        <w:pStyle w:val="2"/>
        <w:spacing w:line="480" w:lineRule="exact"/>
        <w:rPr>
          <w:sz w:val="21"/>
        </w:rPr>
      </w:pPr>
    </w:p>
    <w:p w14:paraId="61FBA934">
      <w:pPr>
        <w:spacing w:line="480" w:lineRule="exact"/>
        <w:rPr>
          <w:rFonts w:ascii="宋体" w:hAnsi="宋体" w:eastAsia="宋体" w:cs="宋体"/>
          <w:spacing w:val="8"/>
        </w:rPr>
      </w:pPr>
    </w:p>
    <w:p w14:paraId="0BA72C77">
      <w:pPr>
        <w:spacing w:line="480" w:lineRule="exact"/>
        <w:ind w:firstLine="452" w:firstLineChars="200"/>
        <w:rPr>
          <w:rFonts w:ascii="宋体" w:hAnsi="宋体" w:eastAsia="宋体" w:cs="宋体"/>
          <w:spacing w:val="8"/>
        </w:rPr>
      </w:pPr>
      <w:r>
        <w:rPr>
          <w:rFonts w:hint="eastAsia" w:ascii="宋体" w:hAnsi="宋体" w:eastAsia="宋体" w:cs="宋体"/>
          <w:spacing w:val="8"/>
        </w:rPr>
        <w:t>1.我方已仔细研究了</w:t>
      </w:r>
      <w:r>
        <w:rPr>
          <w:rFonts w:hint="eastAsia" w:ascii="宋体" w:hAnsi="宋体" w:eastAsia="宋体" w:cs="宋体"/>
          <w:spacing w:val="8"/>
          <w:u w:val="single"/>
        </w:rPr>
        <w:t xml:space="preserve">                 </w:t>
      </w:r>
      <w:r>
        <w:rPr>
          <w:rFonts w:ascii="宋体" w:hAnsi="宋体" w:eastAsia="宋体" w:cs="宋体"/>
          <w:spacing w:val="8"/>
          <w:u w:val="single"/>
        </w:rPr>
        <w:t xml:space="preserve">  </w:t>
      </w:r>
      <w:r>
        <w:rPr>
          <w:rFonts w:hint="eastAsia" w:ascii="宋体" w:hAnsi="宋体" w:eastAsia="宋体" w:cs="宋体"/>
          <w:spacing w:val="8"/>
          <w:u w:val="single"/>
        </w:rPr>
        <w:t xml:space="preserve">   </w:t>
      </w:r>
      <w:r>
        <w:rPr>
          <w:rFonts w:hint="eastAsia" w:ascii="宋体" w:hAnsi="宋体" w:eastAsia="宋体" w:cs="宋体"/>
          <w:spacing w:val="8"/>
        </w:rPr>
        <w:t>的比选文件的全部内容（含所有补遗书）后，我方自愿按照比选文件规定的各项要求向比选人提供所需食材配送服务，并愿意以</w:t>
      </w:r>
      <w:r>
        <w:rPr>
          <w:rFonts w:hint="eastAsia" w:ascii="宋体" w:hAnsi="宋体" w:eastAsia="宋体" w:cs="宋体"/>
          <w:color w:val="auto"/>
        </w:rPr>
        <w:t>供货商供应食材报价</w:t>
      </w:r>
      <w:r>
        <w:rPr>
          <w:rFonts w:hint="eastAsia" w:ascii="宋体" w:hAnsi="宋体" w:eastAsia="宋体" w:cs="宋体"/>
          <w:spacing w:val="8"/>
        </w:rPr>
        <w:t>的</w:t>
      </w:r>
      <w:r>
        <w:rPr>
          <w:rFonts w:ascii="宋体" w:hAnsi="宋体" w:eastAsia="宋体" w:cs="宋体"/>
          <w:spacing w:val="8"/>
          <w:u w:val="single"/>
        </w:rPr>
        <w:t xml:space="preserve">      </w:t>
      </w:r>
      <w:r>
        <w:rPr>
          <w:rFonts w:hint="eastAsia" w:ascii="宋体" w:hAnsi="宋体" w:eastAsia="宋体" w:cs="宋体"/>
          <w:spacing w:val="8"/>
        </w:rPr>
        <w:t xml:space="preserve">%（ 大写： 百分之 </w:t>
      </w:r>
      <w:r>
        <w:rPr>
          <w:rFonts w:ascii="宋体" w:hAnsi="宋体" w:eastAsia="宋体" w:cs="宋体"/>
          <w:spacing w:val="8"/>
        </w:rPr>
        <w:t xml:space="preserve">   </w:t>
      </w:r>
      <w:r>
        <w:rPr>
          <w:rFonts w:hint="eastAsia" w:ascii="宋体" w:hAnsi="宋体" w:eastAsia="宋体" w:cs="宋体"/>
          <w:spacing w:val="8"/>
        </w:rPr>
        <w:t xml:space="preserve"> ）进行报价。我方愿意按照递交的比选申请文件确定的投入力量和工作方法，遵照比选申请文件中提出的各项要求，按合同约定实施和完成上述工作任务及相关服务。</w:t>
      </w:r>
    </w:p>
    <w:p w14:paraId="1F97ABEC">
      <w:pPr>
        <w:spacing w:line="480" w:lineRule="exact"/>
        <w:ind w:firstLine="452" w:firstLineChars="200"/>
        <w:rPr>
          <w:rFonts w:ascii="宋体" w:hAnsi="宋体" w:eastAsia="宋体" w:cs="宋体"/>
          <w:spacing w:val="8"/>
        </w:rPr>
      </w:pPr>
      <w:r>
        <w:rPr>
          <w:rFonts w:hint="eastAsia" w:ascii="宋体" w:hAnsi="宋体" w:eastAsia="宋体" w:cs="宋体"/>
          <w:spacing w:val="8"/>
        </w:rPr>
        <w:t>2．我方承诺在比选申请有效期内不修改、撤销比选申请文件。</w:t>
      </w:r>
    </w:p>
    <w:p w14:paraId="51F917EC">
      <w:pPr>
        <w:spacing w:line="480" w:lineRule="exact"/>
        <w:ind w:firstLine="452" w:firstLineChars="200"/>
        <w:rPr>
          <w:rFonts w:ascii="宋体" w:hAnsi="宋体" w:eastAsia="宋体" w:cs="宋体"/>
          <w:spacing w:val="8"/>
        </w:rPr>
      </w:pPr>
      <w:r>
        <w:rPr>
          <w:rFonts w:hint="eastAsia" w:ascii="宋体" w:hAnsi="宋体" w:eastAsia="宋体" w:cs="宋体"/>
          <w:spacing w:val="8"/>
        </w:rPr>
        <w:t>3．如我方中选：</w:t>
      </w:r>
    </w:p>
    <w:p w14:paraId="3767E6C9">
      <w:pPr>
        <w:spacing w:line="480" w:lineRule="exact"/>
        <w:ind w:firstLine="452" w:firstLineChars="200"/>
        <w:rPr>
          <w:rFonts w:ascii="宋体" w:hAnsi="宋体" w:eastAsia="宋体" w:cs="宋体"/>
          <w:spacing w:val="8"/>
        </w:rPr>
      </w:pPr>
      <w:r>
        <w:rPr>
          <w:rFonts w:hint="eastAsia" w:ascii="宋体" w:hAnsi="宋体" w:eastAsia="宋体" w:cs="宋体"/>
          <w:spacing w:val="8"/>
        </w:rPr>
        <w:t>（1）我方承诺在收到中选通知书后，在中选通知书规定的期限内与你方签订合同。</w:t>
      </w:r>
    </w:p>
    <w:p w14:paraId="060FA002">
      <w:pPr>
        <w:spacing w:line="480" w:lineRule="exact"/>
        <w:ind w:firstLine="452" w:firstLineChars="200"/>
        <w:rPr>
          <w:rFonts w:ascii="宋体" w:hAnsi="宋体" w:eastAsia="宋体" w:cs="宋体"/>
          <w:spacing w:val="8"/>
        </w:rPr>
      </w:pPr>
      <w:r>
        <w:rPr>
          <w:rFonts w:hint="eastAsia" w:ascii="宋体" w:hAnsi="宋体" w:eastAsia="宋体" w:cs="宋体"/>
          <w:spacing w:val="8"/>
        </w:rPr>
        <w:t>（2）在签订合同时不向你方提出附加条件。</w:t>
      </w:r>
    </w:p>
    <w:p w14:paraId="7DAD718B">
      <w:pPr>
        <w:spacing w:line="480" w:lineRule="exact"/>
        <w:ind w:firstLine="452" w:firstLineChars="200"/>
        <w:rPr>
          <w:rFonts w:ascii="宋体" w:hAnsi="宋体" w:eastAsia="宋体" w:cs="宋体"/>
          <w:spacing w:val="8"/>
        </w:rPr>
      </w:pPr>
      <w:r>
        <w:rPr>
          <w:rFonts w:hint="eastAsia" w:ascii="宋体" w:hAnsi="宋体" w:eastAsia="宋体" w:cs="宋体"/>
          <w:spacing w:val="8"/>
        </w:rPr>
        <w:t>（3）我方承诺在合同约定的期限内完成合同规定的全部义务。</w:t>
      </w:r>
    </w:p>
    <w:p w14:paraId="23B5B07B">
      <w:pPr>
        <w:spacing w:line="480" w:lineRule="exact"/>
        <w:ind w:firstLine="452" w:firstLineChars="200"/>
        <w:rPr>
          <w:rFonts w:ascii="宋体" w:hAnsi="宋体" w:eastAsia="宋体" w:cs="宋体"/>
          <w:spacing w:val="8"/>
        </w:rPr>
      </w:pPr>
      <w:r>
        <w:rPr>
          <w:rFonts w:hint="eastAsia" w:ascii="宋体" w:hAnsi="宋体" w:eastAsia="宋体" w:cs="宋体"/>
          <w:spacing w:val="8"/>
        </w:rPr>
        <w:t>4．我方在此声明，所递交的比选申请文件及有关资料内容完整、真实和准确，且不存在违反第二章“比选申请人须知”规定的任何一种情形。以及权利义务符合“第四章合同条款及格式”中的实质性要求和条件。</w:t>
      </w:r>
    </w:p>
    <w:p w14:paraId="2CD0BDFF">
      <w:pPr>
        <w:spacing w:line="480" w:lineRule="exact"/>
        <w:ind w:firstLine="452" w:firstLineChars="200"/>
        <w:rPr>
          <w:rFonts w:ascii="宋体" w:hAnsi="宋体" w:eastAsia="宋体" w:cs="宋体"/>
          <w:spacing w:val="8"/>
        </w:rPr>
      </w:pPr>
      <w:r>
        <w:rPr>
          <w:rFonts w:hint="eastAsia" w:ascii="宋体" w:hAnsi="宋体" w:eastAsia="宋体" w:cs="宋体"/>
          <w:spacing w:val="8"/>
        </w:rPr>
        <w:t>5.在合同协议书正式签署生效之前，本报价函连同你方的中选通知书将构成我们双方之间共同遵守的文件，对双方具有约束力。</w:t>
      </w:r>
    </w:p>
    <w:p w14:paraId="22007BE6">
      <w:pPr>
        <w:spacing w:line="480" w:lineRule="exact"/>
        <w:ind w:firstLine="452" w:firstLineChars="200"/>
        <w:rPr>
          <w:rFonts w:ascii="宋体" w:hAnsi="宋体" w:eastAsia="宋体" w:cs="宋体"/>
          <w:spacing w:val="8"/>
        </w:rPr>
      </w:pPr>
      <w:r>
        <w:rPr>
          <w:rFonts w:hint="eastAsia" w:ascii="宋体" w:hAnsi="宋体" w:eastAsia="宋体" w:cs="宋体"/>
          <w:spacing w:val="8"/>
        </w:rPr>
        <w:t>6．（其他补充说明）。</w:t>
      </w:r>
    </w:p>
    <w:p w14:paraId="7B145DD6">
      <w:pPr>
        <w:spacing w:line="480" w:lineRule="exact"/>
        <w:rPr>
          <w:rFonts w:ascii="宋体" w:hAnsi="宋体" w:eastAsia="宋体" w:cs="宋体"/>
          <w:spacing w:val="8"/>
        </w:rPr>
      </w:pPr>
      <w:r>
        <w:rPr>
          <w:rFonts w:hint="eastAsia" w:ascii="宋体" w:hAnsi="宋体" w:eastAsia="宋体" w:cs="宋体"/>
          <w:spacing w:val="8"/>
        </w:rPr>
        <w:t xml:space="preserve">                    </w:t>
      </w:r>
    </w:p>
    <w:p w14:paraId="607A3F90">
      <w:pPr>
        <w:spacing w:line="480" w:lineRule="exact"/>
        <w:rPr>
          <w:rFonts w:ascii="宋体" w:hAnsi="宋体" w:eastAsia="宋体" w:cs="宋体"/>
          <w:spacing w:val="8"/>
        </w:rPr>
      </w:pPr>
    </w:p>
    <w:p w14:paraId="3B5D9E7C">
      <w:pPr>
        <w:spacing w:line="480" w:lineRule="exact"/>
        <w:jc w:val="right"/>
        <w:rPr>
          <w:rFonts w:ascii="宋体" w:hAnsi="宋体" w:eastAsia="宋体" w:cs="宋体"/>
          <w:spacing w:val="8"/>
        </w:rPr>
      </w:pPr>
      <w:r>
        <w:rPr>
          <w:rFonts w:hint="eastAsia" w:ascii="宋体" w:hAnsi="宋体" w:eastAsia="宋体" w:cs="宋体"/>
          <w:spacing w:val="8"/>
        </w:rPr>
        <w:t xml:space="preserve">    比选申请人：</w:t>
      </w:r>
      <w:r>
        <w:rPr>
          <w:rFonts w:hint="eastAsia" w:ascii="宋体" w:hAnsi="宋体" w:eastAsia="宋体" w:cs="宋体"/>
          <w:spacing w:val="8"/>
          <w:u w:val="single"/>
        </w:rPr>
        <w:t xml:space="preserve">  (全称)                   </w:t>
      </w:r>
      <w:r>
        <w:rPr>
          <w:rFonts w:hint="eastAsia" w:ascii="宋体" w:hAnsi="宋体" w:eastAsia="宋体" w:cs="宋体"/>
          <w:spacing w:val="8"/>
        </w:rPr>
        <w:t xml:space="preserve"> (盖单位章)</w:t>
      </w:r>
    </w:p>
    <w:p w14:paraId="378B3068">
      <w:pPr>
        <w:spacing w:line="480" w:lineRule="exact"/>
        <w:ind w:firstLine="2486" w:firstLineChars="1100"/>
        <w:jc w:val="both"/>
        <w:rPr>
          <w:rFonts w:ascii="宋体" w:hAnsi="宋体" w:eastAsia="宋体" w:cs="宋体"/>
          <w:spacing w:val="8"/>
        </w:rPr>
      </w:pPr>
      <w:r>
        <w:rPr>
          <w:rFonts w:hint="eastAsia" w:ascii="宋体" w:hAnsi="宋体" w:eastAsia="宋体" w:cs="宋体"/>
          <w:spacing w:val="8"/>
        </w:rPr>
        <w:t>法定代表人</w:t>
      </w:r>
    </w:p>
    <w:p w14:paraId="77CD880E">
      <w:pPr>
        <w:spacing w:line="480" w:lineRule="exact"/>
        <w:jc w:val="center"/>
        <w:rPr>
          <w:rFonts w:ascii="宋体" w:hAnsi="宋体" w:eastAsia="宋体" w:cs="宋体"/>
          <w:spacing w:val="8"/>
        </w:rPr>
      </w:pPr>
      <w:r>
        <w:rPr>
          <w:rFonts w:hint="eastAsia" w:ascii="宋体" w:hAnsi="宋体" w:eastAsia="宋体" w:cs="宋体"/>
          <w:spacing w:val="8"/>
        </w:rPr>
        <w:t xml:space="preserve">                    或其委托代理人：(职务、姓名)</w:t>
      </w:r>
      <w:r>
        <w:rPr>
          <w:rFonts w:hint="eastAsia" w:ascii="宋体" w:hAnsi="宋体" w:eastAsia="宋体" w:cs="宋体"/>
          <w:spacing w:val="8"/>
          <w:u w:val="single"/>
        </w:rPr>
        <w:t xml:space="preserve">                </w:t>
      </w:r>
      <w:r>
        <w:rPr>
          <w:rFonts w:hint="eastAsia" w:ascii="宋体" w:hAnsi="宋体" w:eastAsia="宋体" w:cs="宋体"/>
          <w:spacing w:val="8"/>
        </w:rPr>
        <w:t>(签字)</w:t>
      </w:r>
    </w:p>
    <w:p w14:paraId="78F42B00">
      <w:pPr>
        <w:spacing w:line="480" w:lineRule="exact"/>
        <w:ind w:firstLine="2442" w:firstLineChars="11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639BD699">
      <w:pPr>
        <w:spacing w:line="480" w:lineRule="exact"/>
        <w:rPr>
          <w:rFonts w:ascii="宋体" w:hAnsi="宋体" w:eastAsia="宋体" w:cs="宋体"/>
        </w:rPr>
      </w:pPr>
    </w:p>
    <w:p w14:paraId="5E578D28">
      <w:pPr>
        <w:pStyle w:val="2"/>
      </w:pPr>
    </w:p>
    <w:p w14:paraId="7288193D">
      <w:pPr>
        <w:spacing w:before="135" w:line="480" w:lineRule="exact"/>
        <w:jc w:val="center"/>
        <w:rPr>
          <w:rFonts w:ascii="黑体" w:hAnsi="黑体" w:eastAsia="黑体" w:cs="黑体"/>
          <w:spacing w:val="-17"/>
          <w:sz w:val="32"/>
          <w:szCs w:val="32"/>
        </w:rPr>
      </w:pPr>
      <w:bookmarkStart w:id="90" w:name="_Toc29742_WPSOffice_Level1"/>
      <w:bookmarkStart w:id="91" w:name="_Toc27572_WPSOffice_Level1"/>
      <w:bookmarkStart w:id="92" w:name="_Toc19120_WPSOffice_Level1"/>
      <w:bookmarkStart w:id="93" w:name="_Toc7048_WPSOffice_Level1"/>
      <w:bookmarkStart w:id="94" w:name="_Toc28002_WPSOffice_Level1"/>
      <w:r>
        <w:rPr>
          <w:rFonts w:hint="eastAsia" w:ascii="黑体" w:hAnsi="黑体" w:eastAsia="黑体" w:cs="黑体"/>
          <w:spacing w:val="-17"/>
          <w:sz w:val="32"/>
          <w:szCs w:val="32"/>
        </w:rPr>
        <w:t>二、法定代表人身份证明或授权委托书</w:t>
      </w:r>
      <w:bookmarkEnd w:id="90"/>
      <w:bookmarkEnd w:id="91"/>
      <w:bookmarkEnd w:id="92"/>
      <w:bookmarkEnd w:id="93"/>
      <w:bookmarkEnd w:id="94"/>
    </w:p>
    <w:p w14:paraId="7B1E9876">
      <w:pPr>
        <w:pStyle w:val="2"/>
        <w:spacing w:line="480" w:lineRule="exact"/>
        <w:jc w:val="both"/>
        <w:rPr>
          <w:sz w:val="21"/>
        </w:rPr>
      </w:pPr>
    </w:p>
    <w:p w14:paraId="343D62D8"/>
    <w:p w14:paraId="0B5425C1">
      <w:pPr>
        <w:spacing w:line="480" w:lineRule="exact"/>
        <w:jc w:val="center"/>
        <w:rPr>
          <w:rFonts w:ascii="宋体" w:hAnsi="宋体" w:eastAsia="宋体" w:cs="宋体"/>
          <w:b/>
          <w:bCs/>
          <w:sz w:val="32"/>
          <w:szCs w:val="32"/>
        </w:rPr>
      </w:pPr>
      <w:r>
        <w:rPr>
          <w:rFonts w:hint="eastAsia" w:ascii="宋体" w:hAnsi="宋体" w:eastAsia="宋体" w:cs="宋体"/>
          <w:b/>
          <w:bCs/>
          <w:spacing w:val="-2"/>
          <w:sz w:val="32"/>
          <w:szCs w:val="32"/>
        </w:rPr>
        <w:t>（一）法定代表人身份证明</w:t>
      </w:r>
    </w:p>
    <w:p w14:paraId="4062F33E">
      <w:pPr>
        <w:spacing w:line="480" w:lineRule="exact"/>
      </w:pPr>
    </w:p>
    <w:p w14:paraId="19A0D4E3">
      <w:pPr>
        <w:pStyle w:val="2"/>
      </w:pPr>
    </w:p>
    <w:p w14:paraId="594DC3D5">
      <w:pPr>
        <w:spacing w:line="480" w:lineRule="exact"/>
        <w:ind w:left="550" w:right="4252"/>
        <w:rPr>
          <w:rFonts w:ascii="宋体" w:hAnsi="宋体" w:eastAsia="宋体" w:cs="宋体"/>
        </w:rPr>
      </w:pPr>
      <w:r>
        <w:rPr>
          <w:rFonts w:hint="eastAsia" w:ascii="宋体" w:hAnsi="宋体" w:eastAsia="宋体" w:cs="宋体"/>
          <w:spacing w:val="5"/>
        </w:rPr>
        <w:t xml:space="preserve">比选申请人名称： </w:t>
      </w:r>
      <w:r>
        <w:rPr>
          <w:rFonts w:hint="eastAsia" w:ascii="宋体" w:hAnsi="宋体" w:eastAsia="宋体" w:cs="宋体"/>
          <w:u w:val="single"/>
        </w:rPr>
        <w:t xml:space="preserve">                      </w:t>
      </w:r>
      <w:r>
        <w:rPr>
          <w:rFonts w:hint="eastAsia" w:ascii="宋体" w:hAnsi="宋体" w:eastAsia="宋体" w:cs="宋体"/>
        </w:rPr>
        <w:t>单位性质：</w:t>
      </w:r>
      <w:r>
        <w:rPr>
          <w:rFonts w:hint="eastAsia" w:ascii="宋体" w:hAnsi="宋体" w:eastAsia="宋体" w:cs="宋体"/>
          <w:spacing w:val="34"/>
          <w:w w:val="101"/>
        </w:rPr>
        <w:t xml:space="preserve"> </w:t>
      </w:r>
      <w:r>
        <w:rPr>
          <w:rFonts w:hint="eastAsia" w:ascii="宋体" w:hAnsi="宋体" w:eastAsia="宋体" w:cs="宋体"/>
          <w:u w:val="single"/>
        </w:rPr>
        <w:t xml:space="preserve">                           </w:t>
      </w:r>
    </w:p>
    <w:p w14:paraId="7337F97A">
      <w:pPr>
        <w:spacing w:line="480" w:lineRule="exact"/>
        <w:ind w:left="550" w:right="4642"/>
        <w:rPr>
          <w:rFonts w:ascii="宋体" w:hAnsi="宋体" w:eastAsia="宋体" w:cs="宋体"/>
          <w:spacing w:val="2"/>
          <w:u w:val="single"/>
        </w:rPr>
      </w:pPr>
      <w:r>
        <w:rPr>
          <w:rFonts w:hint="eastAsia" w:ascii="宋体" w:hAnsi="宋体" w:eastAsia="宋体" w:cs="宋体"/>
        </w:rPr>
        <w:t>地址：</w:t>
      </w:r>
      <w:r>
        <w:rPr>
          <w:rFonts w:hint="eastAsia" w:ascii="宋体" w:hAnsi="宋体" w:eastAsia="宋体" w:cs="宋体"/>
          <w:spacing w:val="-26"/>
        </w:rPr>
        <w:t xml:space="preserve"> </w:t>
      </w:r>
      <w:r>
        <w:rPr>
          <w:rFonts w:hint="eastAsia" w:ascii="宋体" w:hAnsi="宋体" w:eastAsia="宋体" w:cs="宋体"/>
          <w:spacing w:val="2"/>
          <w:u w:val="single"/>
        </w:rPr>
        <w:t xml:space="preserve">                                       </w:t>
      </w:r>
    </w:p>
    <w:p w14:paraId="6ACED2CE">
      <w:pPr>
        <w:spacing w:line="480" w:lineRule="exact"/>
        <w:ind w:left="1404" w:leftChars="261" w:right="4642" w:hanging="856" w:hangingChars="400"/>
        <w:rPr>
          <w:rFonts w:ascii="宋体" w:hAnsi="宋体" w:eastAsia="宋体" w:cs="宋体"/>
          <w:spacing w:val="2"/>
        </w:rPr>
      </w:pPr>
      <w:r>
        <w:rPr>
          <w:rFonts w:hint="eastAsia" w:ascii="宋体" w:hAnsi="宋体" w:eastAsia="宋体" w:cs="宋体"/>
          <w:spacing w:val="2"/>
        </w:rPr>
        <w:t>成立时间：</w:t>
      </w:r>
      <w:r>
        <w:rPr>
          <w:rFonts w:hint="eastAsia" w:ascii="宋体" w:hAnsi="宋体" w:eastAsia="宋体" w:cs="宋体"/>
          <w:spacing w:val="2"/>
          <w:u w:val="single"/>
        </w:rPr>
        <w:t xml:space="preserve">     </w:t>
      </w:r>
      <w:r>
        <w:rPr>
          <w:rFonts w:hint="eastAsia" w:ascii="宋体" w:hAnsi="宋体" w:eastAsia="宋体" w:cs="宋体"/>
          <w:spacing w:val="2"/>
        </w:rPr>
        <w:t>年</w:t>
      </w:r>
      <w:r>
        <w:rPr>
          <w:rFonts w:hint="eastAsia" w:ascii="宋体" w:hAnsi="宋体" w:eastAsia="宋体" w:cs="宋体"/>
          <w:spacing w:val="2"/>
          <w:u w:val="single"/>
        </w:rPr>
        <w:t xml:space="preserve">    </w:t>
      </w:r>
      <w:r>
        <w:rPr>
          <w:rFonts w:hint="eastAsia" w:ascii="宋体" w:hAnsi="宋体" w:eastAsia="宋体" w:cs="宋体"/>
          <w:spacing w:val="2"/>
        </w:rPr>
        <w:t>月</w:t>
      </w:r>
      <w:r>
        <w:rPr>
          <w:rFonts w:hint="eastAsia" w:ascii="宋体" w:hAnsi="宋体" w:eastAsia="宋体" w:cs="宋体"/>
          <w:spacing w:val="2"/>
          <w:u w:val="single"/>
        </w:rPr>
        <w:t xml:space="preserve">    </w:t>
      </w:r>
      <w:r>
        <w:rPr>
          <w:rFonts w:hint="eastAsia" w:ascii="宋体" w:hAnsi="宋体" w:eastAsia="宋体" w:cs="宋体"/>
          <w:spacing w:val="2"/>
        </w:rPr>
        <w:t>日</w:t>
      </w:r>
    </w:p>
    <w:p w14:paraId="1674E702">
      <w:pPr>
        <w:spacing w:line="480" w:lineRule="exact"/>
        <w:ind w:left="550"/>
        <w:rPr>
          <w:rFonts w:ascii="宋体" w:hAnsi="宋体" w:eastAsia="宋体" w:cs="宋体"/>
        </w:rPr>
      </w:pPr>
      <w:r>
        <w:rPr>
          <w:rFonts w:hint="eastAsia" w:ascii="宋体" w:hAnsi="宋体" w:eastAsia="宋体" w:cs="宋体"/>
        </w:rPr>
        <w:t>经营期限：</w:t>
      </w:r>
      <w:r>
        <w:rPr>
          <w:rFonts w:hint="eastAsia" w:ascii="宋体" w:hAnsi="宋体" w:eastAsia="宋体" w:cs="宋体"/>
          <w:spacing w:val="-16"/>
        </w:rPr>
        <w:t xml:space="preserve"> </w:t>
      </w:r>
      <w:r>
        <w:rPr>
          <w:rFonts w:hint="eastAsia" w:ascii="宋体" w:hAnsi="宋体" w:eastAsia="宋体" w:cs="宋体"/>
          <w:u w:val="single"/>
        </w:rPr>
        <w:t xml:space="preserve">                            </w:t>
      </w:r>
    </w:p>
    <w:p w14:paraId="352FFC2D">
      <w:pPr>
        <w:spacing w:line="480" w:lineRule="exact"/>
        <w:ind w:firstLine="550"/>
        <w:rPr>
          <w:rFonts w:ascii="宋体" w:hAnsi="宋体" w:eastAsia="宋体" w:cs="宋体"/>
        </w:rPr>
      </w:pPr>
      <w:r>
        <w:rPr>
          <w:rFonts w:hint="eastAsia" w:ascii="宋体" w:hAnsi="宋体" w:eastAsia="宋体" w:cs="宋体"/>
          <w:spacing w:val="2"/>
        </w:rPr>
        <w:t>姓 名 ：</w:t>
      </w:r>
      <w:r>
        <w:rPr>
          <w:rFonts w:hint="eastAsia" w:ascii="宋体" w:hAnsi="宋体" w:eastAsia="宋体" w:cs="宋体"/>
          <w:spacing w:val="2"/>
          <w:u w:val="single"/>
        </w:rPr>
        <w:t xml:space="preserve">    </w:t>
      </w:r>
      <w:r>
        <w:rPr>
          <w:rFonts w:hint="eastAsia" w:ascii="宋体" w:hAnsi="宋体" w:eastAsia="宋体" w:cs="宋体"/>
          <w:spacing w:val="-60"/>
          <w:u w:val="single"/>
        </w:rPr>
        <w:t xml:space="preserve"> </w:t>
      </w:r>
      <w:r>
        <w:rPr>
          <w:rFonts w:hint="eastAsia" w:ascii="宋体" w:hAnsi="宋体" w:eastAsia="宋体" w:cs="宋体"/>
          <w:spacing w:val="-54"/>
          <w:u w:val="single"/>
        </w:rPr>
        <w:t xml:space="preserve"> </w:t>
      </w:r>
      <w:r>
        <w:rPr>
          <w:rFonts w:hint="eastAsia" w:ascii="宋体" w:hAnsi="宋体" w:eastAsia="宋体" w:cs="宋体"/>
          <w:spacing w:val="2"/>
          <w:u w:val="single"/>
        </w:rPr>
        <w:t>(</w:t>
      </w:r>
      <w:r>
        <w:rPr>
          <w:rFonts w:hint="eastAsia" w:ascii="宋体" w:hAnsi="宋体" w:eastAsia="宋体" w:cs="宋体"/>
          <w:spacing w:val="33"/>
          <w:u w:val="single"/>
        </w:rPr>
        <w:t xml:space="preserve"> </w:t>
      </w:r>
      <w:r>
        <w:rPr>
          <w:rFonts w:hint="eastAsia" w:ascii="宋体" w:hAnsi="宋体" w:eastAsia="宋体" w:cs="宋体"/>
          <w:spacing w:val="2"/>
          <w:u w:val="single"/>
        </w:rPr>
        <w:t>签</w:t>
      </w:r>
      <w:r>
        <w:rPr>
          <w:rFonts w:hint="eastAsia" w:ascii="宋体" w:hAnsi="宋体" w:eastAsia="宋体" w:cs="宋体"/>
          <w:spacing w:val="34"/>
          <w:u w:val="single"/>
        </w:rPr>
        <w:t xml:space="preserve"> </w:t>
      </w:r>
      <w:r>
        <w:rPr>
          <w:rFonts w:hint="eastAsia" w:ascii="宋体" w:hAnsi="宋体" w:eastAsia="宋体" w:cs="宋体"/>
          <w:spacing w:val="2"/>
          <w:u w:val="single"/>
        </w:rPr>
        <w:t>字</w:t>
      </w:r>
      <w:r>
        <w:rPr>
          <w:rFonts w:hint="eastAsia" w:ascii="宋体" w:hAnsi="宋体" w:eastAsia="宋体" w:cs="宋体"/>
          <w:spacing w:val="34"/>
          <w:u w:val="single"/>
        </w:rPr>
        <w:t xml:space="preserve"> </w:t>
      </w:r>
      <w:r>
        <w:rPr>
          <w:rFonts w:hint="eastAsia" w:ascii="宋体" w:hAnsi="宋体" w:eastAsia="宋体" w:cs="宋体"/>
          <w:spacing w:val="2"/>
          <w:u w:val="single"/>
        </w:rPr>
        <w:t>)</w:t>
      </w:r>
      <w:r>
        <w:rPr>
          <w:rFonts w:hint="eastAsia" w:ascii="宋体" w:hAnsi="宋体" w:eastAsia="宋体" w:cs="宋体"/>
          <w:spacing w:val="2"/>
        </w:rPr>
        <w:t>_性别：</w:t>
      </w:r>
      <w:r>
        <w:rPr>
          <w:rFonts w:hint="eastAsia" w:ascii="宋体" w:hAnsi="宋体" w:eastAsia="宋体" w:cs="宋体"/>
          <w:spacing w:val="2"/>
          <w:u w:val="single"/>
        </w:rPr>
        <w:t xml:space="preserve">      </w:t>
      </w:r>
      <w:r>
        <w:rPr>
          <w:rFonts w:hint="eastAsia" w:ascii="宋体" w:hAnsi="宋体" w:eastAsia="宋体" w:cs="宋体"/>
          <w:spacing w:val="-95"/>
        </w:rPr>
        <w:t xml:space="preserve"> </w:t>
      </w:r>
      <w:r>
        <w:rPr>
          <w:rFonts w:hint="eastAsia" w:ascii="宋体" w:hAnsi="宋体" w:eastAsia="宋体" w:cs="宋体"/>
          <w:spacing w:val="2"/>
        </w:rPr>
        <w:t>年龄：</w:t>
      </w:r>
      <w:r>
        <w:rPr>
          <w:rFonts w:hint="eastAsia" w:ascii="宋体" w:hAnsi="宋体" w:eastAsia="宋体" w:cs="宋体"/>
          <w:spacing w:val="2"/>
          <w:u w:val="single"/>
        </w:rPr>
        <w:t xml:space="preserve">    </w:t>
      </w:r>
      <w:r>
        <w:rPr>
          <w:rFonts w:hint="eastAsia" w:ascii="宋体" w:hAnsi="宋体" w:eastAsia="宋体" w:cs="宋体"/>
          <w:spacing w:val="1"/>
          <w:u w:val="single"/>
        </w:rPr>
        <w:t xml:space="preserve">  </w:t>
      </w:r>
      <w:r>
        <w:rPr>
          <w:rFonts w:hint="eastAsia" w:ascii="宋体" w:hAnsi="宋体" w:eastAsia="宋体" w:cs="宋体"/>
          <w:spacing w:val="1"/>
        </w:rPr>
        <w:t>职务：</w:t>
      </w:r>
      <w:r>
        <w:rPr>
          <w:rFonts w:hint="eastAsia" w:ascii="宋体" w:hAnsi="宋体" w:eastAsia="宋体" w:cs="宋体"/>
          <w:spacing w:val="1"/>
          <w:u w:val="single"/>
        </w:rPr>
        <w:t xml:space="preserve">       </w:t>
      </w:r>
      <w:r>
        <w:rPr>
          <w:rFonts w:hint="eastAsia" w:ascii="宋体" w:hAnsi="宋体" w:eastAsia="宋体" w:cs="宋体"/>
          <w:spacing w:val="1"/>
        </w:rPr>
        <w:t>系</w:t>
      </w:r>
      <w:r>
        <w:rPr>
          <w:rFonts w:hint="eastAsia" w:ascii="宋体" w:hAnsi="宋体" w:eastAsia="宋体" w:cs="宋体"/>
          <w:spacing w:val="-38"/>
          <w:u w:val="single"/>
        </w:rPr>
        <w:t xml:space="preserve"> </w:t>
      </w:r>
      <w:r>
        <w:rPr>
          <w:rFonts w:hint="eastAsia" w:ascii="宋体" w:hAnsi="宋体" w:eastAsia="宋体" w:cs="宋体"/>
          <w:spacing w:val="1"/>
          <w:u w:val="single"/>
        </w:rPr>
        <w:t>(比选申请人名称)</w:t>
      </w:r>
      <w:r>
        <w:rPr>
          <w:rFonts w:hint="eastAsia" w:ascii="宋体" w:hAnsi="宋体" w:eastAsia="宋体" w:cs="宋体"/>
          <w:spacing w:val="1"/>
        </w:rPr>
        <w:t>的法定</w:t>
      </w:r>
      <w:r>
        <w:rPr>
          <w:rFonts w:hint="eastAsia" w:ascii="宋体" w:hAnsi="宋体" w:eastAsia="宋体" w:cs="宋体"/>
          <w:spacing w:val="16"/>
        </w:rPr>
        <w:t>代表人。</w:t>
      </w:r>
    </w:p>
    <w:p w14:paraId="3E98AF7A">
      <w:pPr>
        <w:spacing w:line="480" w:lineRule="exact"/>
        <w:ind w:left="550"/>
        <w:rPr>
          <w:rFonts w:ascii="宋体" w:hAnsi="宋体" w:eastAsia="宋体" w:cs="宋体"/>
        </w:rPr>
      </w:pPr>
      <w:r>
        <w:rPr>
          <w:rFonts w:hint="eastAsia" w:ascii="宋体" w:hAnsi="宋体" w:eastAsia="宋体" w:cs="宋体"/>
          <w:spacing w:val="18"/>
        </w:rPr>
        <w:t>特此证明。</w:t>
      </w:r>
    </w:p>
    <w:p w14:paraId="3D8E7CF4">
      <w:pPr>
        <w:pStyle w:val="2"/>
        <w:spacing w:line="480" w:lineRule="exact"/>
        <w:rPr>
          <w:rFonts w:ascii="宋体" w:hAnsi="宋体" w:cs="宋体"/>
          <w:sz w:val="21"/>
        </w:rPr>
      </w:pPr>
    </w:p>
    <w:p w14:paraId="617EA93D">
      <w:pPr>
        <w:rPr>
          <w:rFonts w:ascii="宋体" w:hAnsi="宋体" w:eastAsia="宋体" w:cs="宋体"/>
        </w:rPr>
      </w:pPr>
    </w:p>
    <w:p w14:paraId="790F954A">
      <w:pPr>
        <w:pStyle w:val="2"/>
        <w:rPr>
          <w:rFonts w:ascii="宋体" w:hAnsi="宋体" w:cs="宋体"/>
          <w:sz w:val="21"/>
        </w:rPr>
      </w:pPr>
    </w:p>
    <w:p w14:paraId="216DDFE1"/>
    <w:p w14:paraId="3F455B64">
      <w:pPr>
        <w:pStyle w:val="2"/>
        <w:spacing w:line="480" w:lineRule="exact"/>
        <w:rPr>
          <w:rFonts w:ascii="宋体" w:hAnsi="宋体" w:cs="宋体"/>
          <w:sz w:val="21"/>
        </w:rPr>
      </w:pPr>
    </w:p>
    <w:p w14:paraId="756B17A0">
      <w:pPr>
        <w:spacing w:line="480" w:lineRule="exact"/>
      </w:pPr>
    </w:p>
    <w:p w14:paraId="6719A53D">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比选申请人：</w:t>
      </w:r>
      <w:r>
        <w:rPr>
          <w:rFonts w:hint="eastAsia" w:ascii="宋体" w:hAnsi="宋体" w:eastAsia="宋体" w:cs="宋体"/>
          <w:spacing w:val="6"/>
          <w:u w:val="single"/>
        </w:rPr>
        <w:t xml:space="preserve">        (全称)(盖单位章)          </w:t>
      </w:r>
    </w:p>
    <w:p w14:paraId="294AB242">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0575870C">
      <w:pPr>
        <w:pStyle w:val="33"/>
        <w:spacing w:line="480" w:lineRule="exact"/>
        <w:ind w:firstLine="420" w:firstLineChars="200"/>
        <w:rPr>
          <w:rFonts w:ascii="宋体" w:hAnsi="宋体" w:cs="宋体"/>
          <w:color w:val="auto"/>
          <w:szCs w:val="21"/>
        </w:rPr>
      </w:pPr>
    </w:p>
    <w:p w14:paraId="1E16242E">
      <w:pPr>
        <w:pStyle w:val="33"/>
        <w:spacing w:line="480" w:lineRule="exact"/>
        <w:rPr>
          <w:rFonts w:ascii="宋体" w:hAnsi="宋体" w:cs="宋体"/>
          <w:color w:val="auto"/>
          <w:szCs w:val="21"/>
        </w:rPr>
      </w:pPr>
    </w:p>
    <w:p w14:paraId="28EA8EE1">
      <w:pPr>
        <w:pStyle w:val="33"/>
        <w:spacing w:line="480" w:lineRule="exact"/>
        <w:rPr>
          <w:rFonts w:ascii="宋体" w:hAnsi="宋体" w:cs="宋体"/>
          <w:color w:val="auto"/>
          <w:szCs w:val="21"/>
        </w:rPr>
      </w:pPr>
    </w:p>
    <w:p w14:paraId="2398927F">
      <w:pPr>
        <w:pStyle w:val="33"/>
        <w:spacing w:line="480" w:lineRule="exact"/>
        <w:ind w:firstLine="420" w:firstLineChars="200"/>
        <w:rPr>
          <w:rFonts w:ascii="宋体" w:hAnsi="宋体" w:cs="宋体"/>
          <w:color w:val="auto"/>
          <w:szCs w:val="21"/>
        </w:rPr>
      </w:pPr>
      <w:r>
        <w:rPr>
          <w:rFonts w:hint="eastAsia" w:ascii="宋体" w:hAnsi="宋体" w:cs="宋体"/>
          <w:color w:val="auto"/>
          <w:szCs w:val="21"/>
        </w:rPr>
        <w:t>注：如果比选申请文件由法定代表人签署，则比选申请人须提交法定代表人身份证明（不需要提交授权委托书）。</w:t>
      </w:r>
    </w:p>
    <w:p w14:paraId="3BAD883E">
      <w:pPr>
        <w:pStyle w:val="8"/>
        <w:spacing w:line="480" w:lineRule="exact"/>
        <w:sectPr>
          <w:footerReference r:id="rId6" w:type="default"/>
          <w:pgSz w:w="11910" w:h="16840"/>
          <w:pgMar w:top="1440" w:right="1800" w:bottom="1440" w:left="1800" w:header="0" w:footer="1321" w:gutter="0"/>
          <w:pgNumType w:start="1"/>
          <w:cols w:space="720" w:num="1"/>
        </w:sectPr>
      </w:pPr>
    </w:p>
    <w:p w14:paraId="46494BD4">
      <w:pPr>
        <w:spacing w:line="480" w:lineRule="exact"/>
        <w:jc w:val="center"/>
        <w:rPr>
          <w:rFonts w:ascii="宋体" w:hAnsi="宋体" w:eastAsia="宋体" w:cs="宋体"/>
          <w:b/>
          <w:bCs/>
          <w:sz w:val="32"/>
          <w:szCs w:val="32"/>
        </w:rPr>
      </w:pPr>
      <w:r>
        <w:rPr>
          <w:rFonts w:hint="eastAsia" w:ascii="宋体" w:hAnsi="宋体" w:eastAsia="宋体" w:cs="宋体"/>
          <w:b/>
          <w:bCs/>
          <w:spacing w:val="11"/>
          <w:sz w:val="32"/>
          <w:szCs w:val="32"/>
        </w:rPr>
        <w:t>（二）授权委托书</w:t>
      </w:r>
    </w:p>
    <w:p w14:paraId="674983DB">
      <w:pPr>
        <w:spacing w:line="480" w:lineRule="exact"/>
        <w:rPr>
          <w:rFonts w:ascii="宋体" w:hAnsi="宋体" w:eastAsia="宋体" w:cs="宋体"/>
          <w:spacing w:val="4"/>
        </w:rPr>
      </w:pPr>
    </w:p>
    <w:p w14:paraId="45DF83CE">
      <w:pPr>
        <w:spacing w:line="480" w:lineRule="exact"/>
        <w:ind w:firstLine="436" w:firstLineChars="200"/>
        <w:rPr>
          <w:rFonts w:ascii="宋体" w:hAnsi="宋体" w:eastAsia="宋体" w:cs="宋体"/>
          <w:color w:val="auto"/>
          <w:spacing w:val="-5"/>
          <w:u w:val="single"/>
        </w:rPr>
      </w:pPr>
      <w:r>
        <w:rPr>
          <w:rFonts w:hint="eastAsia" w:ascii="宋体" w:hAnsi="宋体" w:eastAsia="宋体" w:cs="宋体"/>
          <w:spacing w:val="4"/>
        </w:rPr>
        <w:t>本人</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(姓名)系</w:t>
      </w:r>
      <w:r>
        <w:rPr>
          <w:rFonts w:hint="eastAsia" w:ascii="宋体" w:hAnsi="宋体" w:eastAsia="宋体" w:cs="宋体"/>
          <w:spacing w:val="4"/>
          <w:u w:val="single"/>
        </w:rPr>
        <w:t xml:space="preserve">                 </w:t>
      </w:r>
      <w:r>
        <w:rPr>
          <w:rFonts w:hint="eastAsia" w:ascii="宋体" w:hAnsi="宋体" w:eastAsia="宋体" w:cs="宋体"/>
          <w:spacing w:val="4"/>
        </w:rPr>
        <w:t xml:space="preserve"> (比选申请人名</w:t>
      </w:r>
      <w:r>
        <w:rPr>
          <w:rFonts w:hint="eastAsia" w:ascii="宋体" w:hAnsi="宋体" w:eastAsia="宋体" w:cs="宋体"/>
          <w:spacing w:val="3"/>
        </w:rPr>
        <w:t>称)的法定代表人，现委托</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w:t>
      </w:r>
      <w:r>
        <w:rPr>
          <w:rFonts w:hint="eastAsia" w:ascii="宋体" w:hAnsi="宋体" w:eastAsia="宋体" w:cs="宋体"/>
          <w:spacing w:val="-5"/>
        </w:rPr>
        <w:t>为我方代理人。代理人根据授权，以我方名义签署、澄清、说明、补正、递交、撤回、修改</w:t>
      </w:r>
      <w:r>
        <w:rPr>
          <w:rFonts w:hint="eastAsia" w:ascii="宋体" w:hAnsi="宋体" w:eastAsia="宋体" w:cs="宋体"/>
          <w:color w:val="auto"/>
          <w:spacing w:val="-5"/>
          <w:u w:val="single"/>
        </w:rPr>
        <w:t>绵阳管理处沿线职工食堂2025年度食材采购项目</w:t>
      </w:r>
      <w:r>
        <w:rPr>
          <w:rFonts w:hint="eastAsia" w:ascii="宋体" w:hAnsi="宋体" w:eastAsia="宋体" w:cs="宋体"/>
          <w:color w:val="auto"/>
          <w:spacing w:val="-5"/>
        </w:rPr>
        <w:t>第</w:t>
      </w:r>
      <w:r>
        <w:rPr>
          <w:rFonts w:hint="eastAsia" w:ascii="宋体" w:hAnsi="宋体" w:eastAsia="宋体" w:cs="宋体"/>
          <w:color w:val="auto"/>
          <w:spacing w:val="-5"/>
          <w:u w:val="single"/>
        </w:rPr>
        <w:t xml:space="preserve">           </w:t>
      </w:r>
      <w:r>
        <w:rPr>
          <w:rFonts w:hint="eastAsia" w:ascii="宋体" w:hAnsi="宋体" w:eastAsia="宋体" w:cs="宋体"/>
          <w:color w:val="auto"/>
          <w:spacing w:val="-5"/>
        </w:rPr>
        <w:t>标段的比选申请文件、签订合同和处理有关事宜，其法律后果由我方承担。</w:t>
      </w:r>
    </w:p>
    <w:p w14:paraId="4CCEA647">
      <w:pPr>
        <w:spacing w:line="480" w:lineRule="exact"/>
        <w:ind w:firstLine="400" w:firstLineChars="200"/>
        <w:rPr>
          <w:rFonts w:ascii="宋体" w:hAnsi="宋体" w:eastAsia="宋体" w:cs="宋体"/>
          <w:spacing w:val="-5"/>
        </w:rPr>
      </w:pPr>
      <w:r>
        <w:rPr>
          <w:rFonts w:hint="eastAsia" w:ascii="宋体" w:hAnsi="宋体" w:eastAsia="宋体" w:cs="宋体"/>
          <w:spacing w:val="-5"/>
        </w:rPr>
        <w:t>委托期限：本项目比选申请有效期内。</w:t>
      </w:r>
    </w:p>
    <w:p w14:paraId="2AA1EE4B">
      <w:pPr>
        <w:spacing w:line="480" w:lineRule="exact"/>
        <w:ind w:left="509"/>
        <w:rPr>
          <w:rFonts w:ascii="宋体" w:hAnsi="宋体" w:eastAsia="宋体" w:cs="宋体"/>
          <w:spacing w:val="-5"/>
        </w:rPr>
      </w:pPr>
      <w:r>
        <w:rPr>
          <w:rFonts w:hint="eastAsia" w:ascii="宋体" w:hAnsi="宋体" w:eastAsia="宋体" w:cs="宋体"/>
          <w:spacing w:val="-5"/>
        </w:rPr>
        <w:t>代理人无转委托权。</w:t>
      </w:r>
    </w:p>
    <w:p w14:paraId="2D44FE19">
      <w:pPr>
        <w:spacing w:line="480" w:lineRule="exact"/>
        <w:ind w:left="509"/>
        <w:rPr>
          <w:rFonts w:ascii="宋体" w:hAnsi="宋体" w:eastAsia="宋体" w:cs="宋体"/>
          <w:spacing w:val="-5"/>
        </w:rPr>
      </w:pPr>
      <w:r>
        <w:rPr>
          <w:rFonts w:hint="eastAsia" w:ascii="宋体" w:hAnsi="宋体" w:eastAsia="宋体" w:cs="宋体"/>
          <w:spacing w:val="-5"/>
        </w:rPr>
        <w:t>附：法定代表人、委托代理人身份证正、反面扫描复印件。</w:t>
      </w:r>
    </w:p>
    <w:p w14:paraId="3E208D56">
      <w:pPr>
        <w:pStyle w:val="2"/>
        <w:spacing w:line="480" w:lineRule="exact"/>
        <w:rPr>
          <w:rFonts w:ascii="宋体" w:hAnsi="宋体" w:cs="宋体"/>
          <w:sz w:val="21"/>
        </w:rPr>
      </w:pPr>
    </w:p>
    <w:p w14:paraId="7F5C55EB">
      <w:pPr>
        <w:pStyle w:val="2"/>
        <w:spacing w:line="480" w:lineRule="exact"/>
        <w:rPr>
          <w:rFonts w:ascii="宋体" w:hAnsi="宋体" w:cs="宋体"/>
          <w:sz w:val="21"/>
        </w:rPr>
      </w:pPr>
    </w:p>
    <w:p w14:paraId="033CD720">
      <w:pPr>
        <w:pStyle w:val="8"/>
        <w:rPr>
          <w:rFonts w:cs="宋体"/>
        </w:rPr>
      </w:pPr>
    </w:p>
    <w:p w14:paraId="7D8D6BFD"/>
    <w:p w14:paraId="274FC506">
      <w:pPr>
        <w:rPr>
          <w:rFonts w:ascii="宋体" w:hAnsi="宋体" w:eastAsia="宋体" w:cs="宋体"/>
        </w:rPr>
      </w:pPr>
    </w:p>
    <w:p w14:paraId="2748B331">
      <w:pPr>
        <w:pStyle w:val="8"/>
      </w:pPr>
    </w:p>
    <w:p w14:paraId="5D880CE9">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0580E3A9">
      <w:pPr>
        <w:spacing w:line="480" w:lineRule="exact"/>
        <w:ind w:left="560" w:firstLine="2220" w:firstLineChars="1000"/>
        <w:rPr>
          <w:rFonts w:ascii="宋体" w:hAnsi="宋体" w:eastAsia="宋体" w:cs="宋体"/>
          <w:spacing w:val="6"/>
        </w:rPr>
      </w:pPr>
      <w:r>
        <w:rPr>
          <w:rFonts w:ascii="宋体" w:hAnsi="宋体" w:eastAsia="宋体" w:cs="宋体"/>
          <w:spacing w:val="6"/>
        </w:rPr>
        <w:t>法定代表人或其</w:t>
      </w:r>
    </w:p>
    <w:p w14:paraId="7284072F">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授权的代理人：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(签字)</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42F81A6A">
      <w:pPr>
        <w:spacing w:line="480" w:lineRule="exact"/>
        <w:ind w:left="560" w:firstLine="2220" w:firstLineChars="1000"/>
        <w:rPr>
          <w:rFonts w:ascii="宋体" w:hAnsi="宋体" w:eastAsia="宋体" w:cs="宋体"/>
          <w:spacing w:val="6"/>
        </w:rPr>
      </w:pPr>
      <w:r>
        <w:rPr>
          <w:rFonts w:ascii="宋体" w:hAnsi="宋体" w:eastAsia="宋体" w:cs="宋体"/>
          <w:spacing w:val="6"/>
        </w:rPr>
        <w:t>日</w:t>
      </w:r>
      <w:r>
        <w:rPr>
          <w:rFonts w:hint="eastAsia" w:ascii="宋体" w:hAnsi="宋体" w:eastAsia="宋体" w:cs="宋体"/>
          <w:spacing w:val="6"/>
        </w:rPr>
        <w:t xml:space="preserve">      </w:t>
      </w:r>
      <w:r>
        <w:rPr>
          <w:rFonts w:ascii="宋体" w:hAnsi="宋体" w:eastAsia="宋体" w:cs="宋体"/>
          <w:spacing w:val="6"/>
        </w:rPr>
        <w:t>期：</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年</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月</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日</w:t>
      </w:r>
    </w:p>
    <w:p w14:paraId="33FD15E1">
      <w:pPr>
        <w:pStyle w:val="2"/>
        <w:spacing w:line="480" w:lineRule="exact"/>
        <w:rPr>
          <w:rFonts w:ascii="宋体" w:hAnsi="宋体" w:cs="宋体"/>
          <w:sz w:val="21"/>
        </w:rPr>
      </w:pPr>
    </w:p>
    <w:p w14:paraId="5285B406">
      <w:pPr>
        <w:pStyle w:val="2"/>
        <w:spacing w:line="480" w:lineRule="exact"/>
        <w:rPr>
          <w:rFonts w:ascii="宋体" w:hAnsi="宋体" w:cs="宋体"/>
          <w:sz w:val="21"/>
        </w:rPr>
      </w:pPr>
    </w:p>
    <w:p w14:paraId="1E202EB5">
      <w:pPr>
        <w:rPr>
          <w:rFonts w:ascii="宋体" w:hAnsi="宋体" w:eastAsia="宋体" w:cs="宋体"/>
        </w:rPr>
      </w:pPr>
    </w:p>
    <w:p w14:paraId="121D2273">
      <w:pPr>
        <w:pStyle w:val="8"/>
        <w:rPr>
          <w:rFonts w:cs="宋体"/>
        </w:rPr>
      </w:pPr>
    </w:p>
    <w:p w14:paraId="31550EFA"/>
    <w:p w14:paraId="2CB70A03">
      <w:pPr>
        <w:spacing w:line="480" w:lineRule="exact"/>
        <w:ind w:firstLine="420" w:firstLineChars="200"/>
        <w:jc w:val="both"/>
      </w:pPr>
      <w:bookmarkStart w:id="95" w:name="_Toc1795_WPSOffice_Level1"/>
      <w:bookmarkStart w:id="96" w:name="_Toc23798_WPSOffice_Level1"/>
      <w:bookmarkStart w:id="97" w:name="_Toc11947_WPSOffice_Level1"/>
      <w:bookmarkStart w:id="98" w:name="_Toc9852_WPSOffice_Level1"/>
      <w:bookmarkStart w:id="99" w:name="_Toc14368_WPSOffice_Level1"/>
      <w:r>
        <w:rPr>
          <w:rFonts w:hint="eastAsia" w:ascii="宋体" w:hAnsi="宋体" w:eastAsia="宋体" w:cs="宋体"/>
        </w:rPr>
        <w:t>注：如果比选申请文件由委托代理人签署，则比选申请人须提交授权委托书（不需要提供法定代表人身份证明），授权委托书须满足下列要求：</w:t>
      </w:r>
    </w:p>
    <w:p w14:paraId="23F54BBD">
      <w:pPr>
        <w:spacing w:line="480" w:lineRule="exact"/>
        <w:ind w:firstLine="420" w:firstLineChars="200"/>
        <w:jc w:val="both"/>
        <w:rPr>
          <w:rFonts w:ascii="宋体" w:hAnsi="宋体" w:eastAsia="宋体" w:cs="宋体"/>
        </w:rPr>
      </w:pPr>
      <w:r>
        <w:rPr>
          <w:rFonts w:hint="eastAsia" w:ascii="宋体" w:hAnsi="宋体" w:eastAsia="宋体" w:cs="宋体"/>
        </w:rPr>
        <w:t>（1）法定代表人和委托代理人必须在授权书上签名或加盖个人电子签名章或个人电子印章；</w:t>
      </w:r>
    </w:p>
    <w:p w14:paraId="7C854DA9">
      <w:pPr>
        <w:spacing w:line="480" w:lineRule="exact"/>
        <w:ind w:firstLine="420" w:firstLineChars="200"/>
        <w:jc w:val="both"/>
        <w:rPr>
          <w:rFonts w:ascii="宋体" w:hAnsi="宋体" w:eastAsia="宋体" w:cs="宋体"/>
        </w:rPr>
      </w:pPr>
      <w:r>
        <w:rPr>
          <w:rFonts w:hint="eastAsia" w:ascii="宋体" w:hAnsi="宋体" w:eastAsia="宋体" w:cs="宋体"/>
        </w:rPr>
        <w:t>（2）委托代理人只能是一个人，且不能再授予他人，否则其授权无效。</w:t>
      </w:r>
    </w:p>
    <w:p w14:paraId="1AD831CA">
      <w:pPr>
        <w:spacing w:line="480" w:lineRule="exact"/>
        <w:jc w:val="center"/>
        <w:rPr>
          <w:rFonts w:ascii="宋体" w:hAnsi="宋体" w:eastAsia="宋体" w:cs="宋体"/>
          <w:b/>
          <w:bCs/>
          <w:spacing w:val="-9"/>
          <w:sz w:val="32"/>
          <w:szCs w:val="32"/>
        </w:rPr>
      </w:pPr>
    </w:p>
    <w:p w14:paraId="4AAB7408">
      <w:pPr>
        <w:pStyle w:val="2"/>
        <w:rPr>
          <w:rFonts w:ascii="宋体" w:hAnsi="宋体" w:cs="宋体"/>
          <w:b/>
          <w:bCs/>
          <w:spacing w:val="-9"/>
          <w:sz w:val="32"/>
          <w:szCs w:val="32"/>
        </w:rPr>
      </w:pPr>
    </w:p>
    <w:p w14:paraId="4F380A9B"/>
    <w:p w14:paraId="5CF45709">
      <w:pPr>
        <w:numPr>
          <w:ilvl w:val="0"/>
          <w:numId w:val="4"/>
        </w:numPr>
        <w:spacing w:line="48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9"/>
          <w:sz w:val="32"/>
          <w:szCs w:val="32"/>
        </w:rPr>
        <w:t>资格审查资料</w:t>
      </w:r>
      <w:bookmarkEnd w:id="95"/>
      <w:bookmarkEnd w:id="96"/>
      <w:bookmarkEnd w:id="97"/>
      <w:bookmarkEnd w:id="98"/>
      <w:bookmarkEnd w:id="99"/>
    </w:p>
    <w:p w14:paraId="6C97EE31">
      <w:pPr>
        <w:pStyle w:val="3"/>
        <w:spacing w:before="0" w:after="0" w:line="480" w:lineRule="exact"/>
        <w:rPr>
          <w:rFonts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pacing w:val="-12"/>
          <w:sz w:val="32"/>
          <w:szCs w:val="32"/>
        </w:rPr>
        <w:t xml:space="preserve">  </w:t>
      </w:r>
      <w:bookmarkStart w:id="100" w:name="_Toc24846"/>
      <w:bookmarkStart w:id="101" w:name="_Toc23548"/>
      <w:bookmarkStart w:id="102" w:name="_Toc19428"/>
      <w:r>
        <w:rPr>
          <w:rFonts w:hint="eastAsia" w:asciiTheme="majorEastAsia" w:hAnsiTheme="majorEastAsia" w:eastAsiaTheme="majorEastAsia" w:cstheme="majorEastAsia"/>
          <w:spacing w:val="-9"/>
          <w:sz w:val="32"/>
          <w:szCs w:val="32"/>
        </w:rPr>
        <w:t>（一）比选申请人</w:t>
      </w:r>
      <w:bookmarkEnd w:id="100"/>
      <w:bookmarkEnd w:id="101"/>
      <w:bookmarkEnd w:id="102"/>
      <w:r>
        <w:rPr>
          <w:rFonts w:hint="eastAsia" w:asciiTheme="majorEastAsia" w:hAnsiTheme="majorEastAsia" w:eastAsiaTheme="majorEastAsia" w:cstheme="majorEastAsia"/>
          <w:spacing w:val="-9"/>
          <w:sz w:val="32"/>
          <w:szCs w:val="32"/>
        </w:rPr>
        <w:t>基本情况表</w:t>
      </w:r>
    </w:p>
    <w:p w14:paraId="74FE931A">
      <w:pPr>
        <w:spacing w:line="122" w:lineRule="exact"/>
      </w:pPr>
    </w:p>
    <w:tbl>
      <w:tblPr>
        <w:tblStyle w:val="31"/>
        <w:tblW w:w="83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996"/>
        <w:gridCol w:w="1930"/>
        <w:gridCol w:w="1380"/>
        <w:gridCol w:w="2100"/>
      </w:tblGrid>
      <w:tr w14:paraId="09E56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46" w:type="dxa"/>
          </w:tcPr>
          <w:p w14:paraId="53592A18">
            <w:pPr>
              <w:pStyle w:val="51"/>
              <w:spacing w:line="480" w:lineRule="exact"/>
              <w:ind w:left="275"/>
              <w:rPr>
                <w:sz w:val="21"/>
                <w:szCs w:val="21"/>
              </w:rPr>
            </w:pPr>
            <w:r>
              <w:rPr>
                <w:spacing w:val="1"/>
                <w:sz w:val="21"/>
                <w:szCs w:val="21"/>
              </w:rPr>
              <w:t>比选申请人名称</w:t>
            </w:r>
          </w:p>
        </w:tc>
        <w:tc>
          <w:tcPr>
            <w:tcW w:w="6406" w:type="dxa"/>
            <w:gridSpan w:val="4"/>
          </w:tcPr>
          <w:p w14:paraId="2B38A10F">
            <w:pPr>
              <w:spacing w:line="480" w:lineRule="exact"/>
            </w:pPr>
          </w:p>
        </w:tc>
      </w:tr>
      <w:tr w14:paraId="1E3A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090EEE90">
            <w:pPr>
              <w:pStyle w:val="51"/>
              <w:spacing w:line="480" w:lineRule="exact"/>
              <w:ind w:left="595"/>
              <w:rPr>
                <w:sz w:val="21"/>
                <w:szCs w:val="21"/>
              </w:rPr>
            </w:pPr>
            <w:r>
              <w:rPr>
                <w:spacing w:val="-2"/>
                <w:sz w:val="21"/>
                <w:szCs w:val="21"/>
              </w:rPr>
              <w:t>注册地址</w:t>
            </w:r>
          </w:p>
        </w:tc>
        <w:tc>
          <w:tcPr>
            <w:tcW w:w="2926" w:type="dxa"/>
            <w:gridSpan w:val="2"/>
          </w:tcPr>
          <w:p w14:paraId="12454D3B">
            <w:pPr>
              <w:spacing w:line="480" w:lineRule="exact"/>
            </w:pPr>
          </w:p>
        </w:tc>
        <w:tc>
          <w:tcPr>
            <w:tcW w:w="1380" w:type="dxa"/>
          </w:tcPr>
          <w:p w14:paraId="7587468F">
            <w:pPr>
              <w:pStyle w:val="51"/>
              <w:spacing w:line="480" w:lineRule="exact"/>
              <w:ind w:left="225"/>
              <w:rPr>
                <w:sz w:val="21"/>
                <w:szCs w:val="21"/>
              </w:rPr>
            </w:pPr>
            <w:r>
              <w:rPr>
                <w:spacing w:val="2"/>
                <w:sz w:val="21"/>
                <w:szCs w:val="21"/>
              </w:rPr>
              <w:t>邮政编码</w:t>
            </w:r>
          </w:p>
        </w:tc>
        <w:tc>
          <w:tcPr>
            <w:tcW w:w="2100" w:type="dxa"/>
          </w:tcPr>
          <w:p w14:paraId="79391272">
            <w:pPr>
              <w:spacing w:line="480" w:lineRule="exact"/>
            </w:pPr>
          </w:p>
        </w:tc>
      </w:tr>
      <w:tr w14:paraId="7D42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Borders>
              <w:bottom w:val="nil"/>
            </w:tcBorders>
            <w:vAlign w:val="center"/>
          </w:tcPr>
          <w:p w14:paraId="40A87B3D">
            <w:pPr>
              <w:pStyle w:val="51"/>
              <w:spacing w:line="480" w:lineRule="exact"/>
              <w:jc w:val="center"/>
              <w:rPr>
                <w:sz w:val="21"/>
                <w:szCs w:val="21"/>
              </w:rPr>
            </w:pPr>
            <w:r>
              <w:rPr>
                <w:spacing w:val="-2"/>
                <w:sz w:val="21"/>
                <w:szCs w:val="21"/>
              </w:rPr>
              <w:t>联系方式</w:t>
            </w:r>
          </w:p>
        </w:tc>
        <w:tc>
          <w:tcPr>
            <w:tcW w:w="996" w:type="dxa"/>
            <w:vAlign w:val="center"/>
          </w:tcPr>
          <w:p w14:paraId="3378B216">
            <w:pPr>
              <w:pStyle w:val="51"/>
              <w:spacing w:line="480" w:lineRule="exact"/>
              <w:jc w:val="center"/>
              <w:rPr>
                <w:sz w:val="21"/>
                <w:szCs w:val="21"/>
              </w:rPr>
            </w:pPr>
            <w:r>
              <w:rPr>
                <w:spacing w:val="-3"/>
                <w:sz w:val="21"/>
                <w:szCs w:val="21"/>
              </w:rPr>
              <w:t>联系人</w:t>
            </w:r>
          </w:p>
        </w:tc>
        <w:tc>
          <w:tcPr>
            <w:tcW w:w="1930" w:type="dxa"/>
          </w:tcPr>
          <w:p w14:paraId="219F5113">
            <w:pPr>
              <w:spacing w:line="480" w:lineRule="exact"/>
            </w:pPr>
          </w:p>
        </w:tc>
        <w:tc>
          <w:tcPr>
            <w:tcW w:w="1380" w:type="dxa"/>
            <w:vAlign w:val="center"/>
          </w:tcPr>
          <w:p w14:paraId="62A9C860">
            <w:pPr>
              <w:pStyle w:val="51"/>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1F7A1726">
            <w:pPr>
              <w:spacing w:line="480" w:lineRule="exact"/>
            </w:pPr>
          </w:p>
        </w:tc>
      </w:tr>
      <w:tr w14:paraId="278F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6" w:type="dxa"/>
            <w:vAlign w:val="center"/>
          </w:tcPr>
          <w:p w14:paraId="0CFC73E6">
            <w:pPr>
              <w:pStyle w:val="51"/>
              <w:spacing w:line="480" w:lineRule="exact"/>
              <w:ind w:left="484"/>
              <w:jc w:val="both"/>
              <w:rPr>
                <w:sz w:val="21"/>
                <w:szCs w:val="21"/>
              </w:rPr>
            </w:pPr>
            <w:r>
              <w:rPr>
                <w:spacing w:val="-2"/>
                <w:sz w:val="21"/>
                <w:szCs w:val="21"/>
              </w:rPr>
              <w:t>法定代表人</w:t>
            </w:r>
          </w:p>
        </w:tc>
        <w:tc>
          <w:tcPr>
            <w:tcW w:w="996" w:type="dxa"/>
            <w:vAlign w:val="center"/>
          </w:tcPr>
          <w:p w14:paraId="6C447BE8">
            <w:pPr>
              <w:pStyle w:val="51"/>
              <w:spacing w:line="480" w:lineRule="exact"/>
              <w:jc w:val="center"/>
              <w:rPr>
                <w:sz w:val="21"/>
                <w:szCs w:val="21"/>
              </w:rPr>
            </w:pPr>
            <w:r>
              <w:rPr>
                <w:spacing w:val="-5"/>
                <w:sz w:val="21"/>
                <w:szCs w:val="21"/>
              </w:rPr>
              <w:t>姓</w:t>
            </w:r>
            <w:r>
              <w:rPr>
                <w:rFonts w:hint="eastAsia"/>
                <w:spacing w:val="-5"/>
                <w:sz w:val="21"/>
                <w:szCs w:val="21"/>
                <w:lang w:eastAsia="zh-CN"/>
              </w:rPr>
              <w:t xml:space="preserve"> </w:t>
            </w:r>
            <w:r>
              <w:rPr>
                <w:spacing w:val="-5"/>
                <w:sz w:val="21"/>
                <w:szCs w:val="21"/>
              </w:rPr>
              <w:t>名</w:t>
            </w:r>
          </w:p>
        </w:tc>
        <w:tc>
          <w:tcPr>
            <w:tcW w:w="1930" w:type="dxa"/>
          </w:tcPr>
          <w:p w14:paraId="5EFF001F">
            <w:pPr>
              <w:spacing w:line="480" w:lineRule="exact"/>
            </w:pPr>
          </w:p>
        </w:tc>
        <w:tc>
          <w:tcPr>
            <w:tcW w:w="1380" w:type="dxa"/>
            <w:vAlign w:val="center"/>
          </w:tcPr>
          <w:p w14:paraId="6011E529">
            <w:pPr>
              <w:pStyle w:val="51"/>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376BB6AE">
            <w:pPr>
              <w:spacing w:line="480" w:lineRule="exact"/>
            </w:pPr>
          </w:p>
        </w:tc>
      </w:tr>
      <w:tr w14:paraId="59F9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2CD6CA30">
            <w:pPr>
              <w:pStyle w:val="51"/>
              <w:spacing w:line="480" w:lineRule="exact"/>
              <w:ind w:left="484"/>
              <w:rPr>
                <w:sz w:val="21"/>
                <w:szCs w:val="21"/>
              </w:rPr>
            </w:pPr>
            <w:r>
              <w:rPr>
                <w:spacing w:val="2"/>
                <w:sz w:val="21"/>
                <w:szCs w:val="21"/>
              </w:rPr>
              <w:t>营业执照号</w:t>
            </w:r>
          </w:p>
        </w:tc>
        <w:tc>
          <w:tcPr>
            <w:tcW w:w="2926" w:type="dxa"/>
            <w:gridSpan w:val="2"/>
          </w:tcPr>
          <w:p w14:paraId="0A5001EC">
            <w:pPr>
              <w:spacing w:line="480" w:lineRule="exact"/>
            </w:pPr>
          </w:p>
        </w:tc>
        <w:tc>
          <w:tcPr>
            <w:tcW w:w="1380" w:type="dxa"/>
            <w:tcBorders>
              <w:right w:val="single" w:color="auto" w:sz="4" w:space="0"/>
            </w:tcBorders>
          </w:tcPr>
          <w:p w14:paraId="17BD9DED">
            <w:pPr>
              <w:pStyle w:val="51"/>
              <w:spacing w:line="480" w:lineRule="exact"/>
              <w:ind w:firstLine="210" w:firstLineChars="100"/>
              <w:rPr>
                <w:sz w:val="21"/>
                <w:szCs w:val="21"/>
                <w:lang w:eastAsia="zh-CN"/>
              </w:rPr>
            </w:pPr>
            <w:r>
              <w:rPr>
                <w:rFonts w:hint="eastAsia"/>
                <w:sz w:val="21"/>
                <w:szCs w:val="21"/>
                <w:lang w:eastAsia="zh-CN"/>
              </w:rPr>
              <w:t>成立日期</w:t>
            </w:r>
          </w:p>
        </w:tc>
        <w:tc>
          <w:tcPr>
            <w:tcW w:w="2100" w:type="dxa"/>
            <w:tcBorders>
              <w:left w:val="single" w:color="auto" w:sz="4" w:space="0"/>
            </w:tcBorders>
          </w:tcPr>
          <w:p w14:paraId="4138A767">
            <w:pPr>
              <w:pStyle w:val="51"/>
              <w:spacing w:line="480" w:lineRule="exact"/>
              <w:ind w:firstLine="210" w:firstLineChars="100"/>
              <w:rPr>
                <w:sz w:val="21"/>
                <w:szCs w:val="21"/>
                <w:lang w:eastAsia="zh-CN"/>
              </w:rPr>
            </w:pPr>
          </w:p>
        </w:tc>
      </w:tr>
      <w:tr w14:paraId="222D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75ACC5D2">
            <w:pPr>
              <w:pStyle w:val="51"/>
              <w:spacing w:line="480" w:lineRule="exact"/>
              <w:ind w:left="595"/>
              <w:rPr>
                <w:sz w:val="21"/>
                <w:szCs w:val="21"/>
              </w:rPr>
            </w:pPr>
            <w:r>
              <w:rPr>
                <w:spacing w:val="-2"/>
                <w:sz w:val="21"/>
                <w:szCs w:val="21"/>
              </w:rPr>
              <w:t>注册资本</w:t>
            </w:r>
          </w:p>
        </w:tc>
        <w:tc>
          <w:tcPr>
            <w:tcW w:w="6406" w:type="dxa"/>
            <w:gridSpan w:val="4"/>
          </w:tcPr>
          <w:p w14:paraId="5C7D6C78">
            <w:pPr>
              <w:spacing w:line="480" w:lineRule="exact"/>
            </w:pPr>
          </w:p>
        </w:tc>
      </w:tr>
      <w:tr w14:paraId="2523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46" w:type="dxa"/>
          </w:tcPr>
          <w:p w14:paraId="074DD561">
            <w:pPr>
              <w:pStyle w:val="51"/>
              <w:spacing w:line="480" w:lineRule="exact"/>
              <w:ind w:left="174"/>
              <w:rPr>
                <w:sz w:val="21"/>
                <w:szCs w:val="21"/>
              </w:rPr>
            </w:pPr>
            <w:r>
              <w:rPr>
                <w:spacing w:val="-1"/>
                <w:sz w:val="21"/>
                <w:szCs w:val="21"/>
              </w:rPr>
              <w:t>基本账户开户银行</w:t>
            </w:r>
          </w:p>
        </w:tc>
        <w:tc>
          <w:tcPr>
            <w:tcW w:w="6406" w:type="dxa"/>
            <w:gridSpan w:val="4"/>
          </w:tcPr>
          <w:p w14:paraId="246163FC">
            <w:pPr>
              <w:spacing w:line="480" w:lineRule="exact"/>
              <w:rPr>
                <w:highlight w:val="yellow"/>
              </w:rPr>
            </w:pPr>
          </w:p>
        </w:tc>
      </w:tr>
      <w:tr w14:paraId="610D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267788CA">
            <w:pPr>
              <w:pStyle w:val="51"/>
              <w:spacing w:line="480" w:lineRule="exact"/>
              <w:ind w:left="174"/>
              <w:rPr>
                <w:sz w:val="21"/>
                <w:szCs w:val="21"/>
              </w:rPr>
            </w:pPr>
            <w:r>
              <w:rPr>
                <w:spacing w:val="1"/>
                <w:sz w:val="21"/>
                <w:szCs w:val="21"/>
              </w:rPr>
              <w:t>基本账户银行账号</w:t>
            </w:r>
          </w:p>
        </w:tc>
        <w:tc>
          <w:tcPr>
            <w:tcW w:w="6406" w:type="dxa"/>
            <w:gridSpan w:val="4"/>
          </w:tcPr>
          <w:p w14:paraId="394554F4">
            <w:pPr>
              <w:spacing w:line="480" w:lineRule="exact"/>
              <w:rPr>
                <w:highlight w:val="yellow"/>
              </w:rPr>
            </w:pPr>
          </w:p>
        </w:tc>
      </w:tr>
      <w:tr w14:paraId="4543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946" w:type="dxa"/>
            <w:vAlign w:val="center"/>
          </w:tcPr>
          <w:p w14:paraId="149F1843">
            <w:pPr>
              <w:pStyle w:val="51"/>
              <w:spacing w:line="480" w:lineRule="exact"/>
              <w:jc w:val="center"/>
              <w:rPr>
                <w:sz w:val="21"/>
                <w:szCs w:val="21"/>
              </w:rPr>
            </w:pPr>
            <w:r>
              <w:rPr>
                <w:spacing w:val="4"/>
                <w:sz w:val="21"/>
                <w:szCs w:val="21"/>
              </w:rPr>
              <w:t>经营范围</w:t>
            </w:r>
          </w:p>
        </w:tc>
        <w:tc>
          <w:tcPr>
            <w:tcW w:w="6406" w:type="dxa"/>
            <w:gridSpan w:val="4"/>
          </w:tcPr>
          <w:p w14:paraId="5F7BF699">
            <w:pPr>
              <w:spacing w:line="480" w:lineRule="exact"/>
            </w:pPr>
          </w:p>
        </w:tc>
      </w:tr>
      <w:tr w14:paraId="40D7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946" w:type="dxa"/>
            <w:vAlign w:val="center"/>
          </w:tcPr>
          <w:p w14:paraId="03AF70FD">
            <w:pPr>
              <w:pStyle w:val="51"/>
              <w:spacing w:line="480" w:lineRule="exact"/>
              <w:ind w:right="378"/>
              <w:jc w:val="center"/>
              <w:rPr>
                <w:sz w:val="21"/>
                <w:szCs w:val="21"/>
                <w:lang w:eastAsia="zh-CN"/>
              </w:rPr>
            </w:pPr>
            <w:r>
              <w:rPr>
                <w:spacing w:val="1"/>
                <w:sz w:val="21"/>
                <w:szCs w:val="21"/>
                <w:lang w:eastAsia="zh-CN"/>
              </w:rPr>
              <w:t>比选申请人</w:t>
            </w:r>
            <w:r>
              <w:rPr>
                <w:rFonts w:hint="eastAsia"/>
                <w:spacing w:val="1"/>
                <w:sz w:val="21"/>
                <w:szCs w:val="21"/>
                <w:lang w:eastAsia="zh-CN"/>
              </w:rPr>
              <w:t xml:space="preserve">   </w:t>
            </w:r>
            <w:r>
              <w:rPr>
                <w:spacing w:val="1"/>
                <w:sz w:val="21"/>
                <w:szCs w:val="21"/>
                <w:lang w:eastAsia="zh-CN"/>
              </w:rPr>
              <w:t>关联企业情况</w:t>
            </w:r>
          </w:p>
        </w:tc>
        <w:tc>
          <w:tcPr>
            <w:tcW w:w="6406" w:type="dxa"/>
            <w:gridSpan w:val="4"/>
          </w:tcPr>
          <w:p w14:paraId="0D677950">
            <w:pPr>
              <w:pStyle w:val="51"/>
              <w:ind w:left="122"/>
              <w:rPr>
                <w:sz w:val="21"/>
                <w:szCs w:val="21"/>
                <w:lang w:eastAsia="zh-CN"/>
              </w:rPr>
            </w:pPr>
            <w:r>
              <w:rPr>
                <w:spacing w:val="-1"/>
                <w:sz w:val="21"/>
                <w:szCs w:val="21"/>
                <w:lang w:eastAsia="zh-CN"/>
              </w:rPr>
              <w:t>比选申请人应提供关联企业情况，包括：</w:t>
            </w:r>
          </w:p>
          <w:p w14:paraId="79CC3C24">
            <w:pPr>
              <w:pStyle w:val="51"/>
              <w:ind w:left="211"/>
              <w:rPr>
                <w:sz w:val="21"/>
                <w:szCs w:val="21"/>
                <w:lang w:eastAsia="zh-CN"/>
              </w:rPr>
            </w:pPr>
            <w:r>
              <w:rPr>
                <w:sz w:val="21"/>
                <w:szCs w:val="21"/>
                <w:lang w:eastAsia="zh-CN"/>
              </w:rPr>
              <w:t>(1)比选申请人的所有股东名称及相应股权(出资额)比例；如比选申请</w:t>
            </w:r>
            <w:r>
              <w:rPr>
                <w:spacing w:val="-2"/>
                <w:sz w:val="21"/>
                <w:szCs w:val="21"/>
                <w:lang w:eastAsia="zh-CN"/>
              </w:rPr>
              <w:t>人为上市公司，比选申请人应提供股权占公司股份总数</w:t>
            </w:r>
            <w:r>
              <w:rPr>
                <w:spacing w:val="-3"/>
                <w:sz w:val="21"/>
                <w:szCs w:val="21"/>
                <w:lang w:eastAsia="zh-CN"/>
              </w:rPr>
              <w:t>10%以上的所有股东</w:t>
            </w:r>
            <w:r>
              <w:rPr>
                <w:spacing w:val="10"/>
                <w:sz w:val="21"/>
                <w:szCs w:val="21"/>
                <w:lang w:eastAsia="zh-CN"/>
              </w:rPr>
              <w:t>名称及相应股权比例；</w:t>
            </w:r>
          </w:p>
          <w:p w14:paraId="2612291C">
            <w:pPr>
              <w:pStyle w:val="51"/>
              <w:ind w:left="111" w:right="221" w:firstLine="99"/>
              <w:rPr>
                <w:sz w:val="21"/>
                <w:szCs w:val="21"/>
                <w:lang w:eastAsia="zh-CN"/>
              </w:rPr>
            </w:pPr>
            <w:r>
              <w:rPr>
                <w:spacing w:val="1"/>
                <w:sz w:val="21"/>
                <w:szCs w:val="21"/>
                <w:lang w:eastAsia="zh-CN"/>
              </w:rPr>
              <w:t>(2)比选申请人投资(控股)或管理的下属企业名称、持有股权(出资额)</w:t>
            </w:r>
            <w:r>
              <w:rPr>
                <w:spacing w:val="-12"/>
                <w:sz w:val="21"/>
                <w:szCs w:val="21"/>
                <w:lang w:eastAsia="zh-CN"/>
              </w:rPr>
              <w:t>比例；</w:t>
            </w:r>
          </w:p>
          <w:p w14:paraId="40D0635B">
            <w:pPr>
              <w:pStyle w:val="51"/>
              <w:ind w:left="221"/>
              <w:rPr>
                <w:sz w:val="21"/>
                <w:szCs w:val="21"/>
                <w:lang w:eastAsia="zh-CN"/>
              </w:rPr>
            </w:pPr>
            <w:r>
              <w:rPr>
                <w:sz w:val="21"/>
                <w:szCs w:val="21"/>
                <w:lang w:eastAsia="zh-CN"/>
              </w:rPr>
              <w:t>(3)与比选申请人单位负责人(即法定代表人)为同一人的其他单位名称。</w:t>
            </w:r>
          </w:p>
        </w:tc>
      </w:tr>
      <w:tr w14:paraId="4FB6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946" w:type="dxa"/>
            <w:vAlign w:val="center"/>
          </w:tcPr>
          <w:p w14:paraId="7FD0446F">
            <w:pPr>
              <w:pStyle w:val="51"/>
              <w:spacing w:line="480" w:lineRule="exact"/>
              <w:jc w:val="center"/>
              <w:rPr>
                <w:sz w:val="21"/>
                <w:szCs w:val="21"/>
              </w:rPr>
            </w:pPr>
            <w:r>
              <w:rPr>
                <w:spacing w:val="5"/>
                <w:sz w:val="21"/>
                <w:szCs w:val="21"/>
              </w:rPr>
              <w:t>备注</w:t>
            </w:r>
          </w:p>
        </w:tc>
        <w:tc>
          <w:tcPr>
            <w:tcW w:w="6406" w:type="dxa"/>
            <w:gridSpan w:val="4"/>
          </w:tcPr>
          <w:p w14:paraId="2374D346">
            <w:pPr>
              <w:spacing w:line="480" w:lineRule="exact"/>
            </w:pPr>
          </w:p>
        </w:tc>
      </w:tr>
    </w:tbl>
    <w:p w14:paraId="73587BE4">
      <w:pPr>
        <w:spacing w:line="400" w:lineRule="exact"/>
        <w:ind w:firstLine="424" w:firstLineChars="200"/>
        <w:rPr>
          <w:rFonts w:ascii="宋体" w:hAnsi="宋体" w:eastAsia="宋体" w:cs="宋体"/>
          <w:spacing w:val="1"/>
        </w:rPr>
      </w:pPr>
    </w:p>
    <w:p w14:paraId="03F1383C">
      <w:pPr>
        <w:pStyle w:val="2"/>
      </w:pPr>
    </w:p>
    <w:p w14:paraId="270E1C43">
      <w:pPr>
        <w:spacing w:line="400" w:lineRule="exact"/>
        <w:ind w:firstLine="424" w:firstLineChars="200"/>
        <w:rPr>
          <w:rFonts w:ascii="宋体" w:hAnsi="宋体" w:eastAsia="宋体" w:cs="宋体"/>
          <w:spacing w:val="1"/>
        </w:rPr>
      </w:pPr>
      <w:r>
        <w:rPr>
          <w:rFonts w:hint="eastAsia" w:ascii="宋体" w:hAnsi="宋体" w:eastAsia="宋体" w:cs="宋体"/>
          <w:spacing w:val="1"/>
        </w:rPr>
        <w:t>注：</w:t>
      </w:r>
      <w:bookmarkStart w:id="103" w:name="_Toc18348"/>
      <w:bookmarkStart w:id="104" w:name="_Toc29960"/>
      <w:bookmarkStart w:id="105" w:name="_Toc21415"/>
      <w:r>
        <w:rPr>
          <w:rFonts w:hint="eastAsia" w:ascii="宋体" w:hAnsi="宋体" w:eastAsia="宋体" w:cs="宋体"/>
          <w:spacing w:val="1"/>
        </w:rPr>
        <w:t>本表后应附有以下证明材料的影印件（黑白或彩色）：</w:t>
      </w:r>
    </w:p>
    <w:p w14:paraId="1280447D">
      <w:pPr>
        <w:numPr>
          <w:ilvl w:val="0"/>
          <w:numId w:val="5"/>
        </w:numPr>
        <w:spacing w:line="400" w:lineRule="exact"/>
        <w:ind w:firstLine="424" w:firstLineChars="200"/>
        <w:rPr>
          <w:rFonts w:ascii="宋体" w:hAnsi="宋体" w:eastAsia="宋体" w:cs="宋体"/>
          <w:spacing w:val="1"/>
        </w:rPr>
      </w:pPr>
      <w:r>
        <w:rPr>
          <w:rFonts w:hint="eastAsia" w:ascii="宋体" w:hAnsi="宋体" w:eastAsia="宋体" w:cs="宋体"/>
          <w:spacing w:val="1"/>
        </w:rPr>
        <w:t>营业执照副本；</w:t>
      </w:r>
    </w:p>
    <w:p w14:paraId="7BBE3554">
      <w:pPr>
        <w:numPr>
          <w:ilvl w:val="0"/>
          <w:numId w:val="5"/>
        </w:numPr>
        <w:spacing w:line="400" w:lineRule="exact"/>
        <w:ind w:firstLine="424" w:firstLineChars="200"/>
        <w:rPr>
          <w:rFonts w:ascii="宋体" w:hAnsi="宋体" w:eastAsia="宋体" w:cs="宋体"/>
          <w:spacing w:val="1"/>
        </w:rPr>
      </w:pPr>
      <w:r>
        <w:rPr>
          <w:rFonts w:hint="eastAsia" w:ascii="宋体" w:hAnsi="宋体" w:eastAsia="宋体" w:cs="宋体"/>
          <w:spacing w:val="1"/>
        </w:rPr>
        <w:t>基本账户开户许可证或基本存款账户信息表</w:t>
      </w:r>
      <w:r>
        <w:rPr>
          <w:rFonts w:hint="eastAsia" w:ascii="宋体" w:hAnsi="宋体" w:cs="宋体"/>
          <w:spacing w:val="1"/>
        </w:rPr>
        <w:t>。</w:t>
      </w:r>
    </w:p>
    <w:p w14:paraId="7063C99C">
      <w:pPr>
        <w:pStyle w:val="2"/>
      </w:pPr>
    </w:p>
    <w:p w14:paraId="78BCC749"/>
    <w:p w14:paraId="3C0F7BAC">
      <w:pPr>
        <w:pStyle w:val="2"/>
      </w:pPr>
    </w:p>
    <w:p w14:paraId="538A7A70"/>
    <w:p w14:paraId="68A72B4E">
      <w:pPr>
        <w:pStyle w:val="3"/>
        <w:spacing w:before="0" w:after="0" w:line="480" w:lineRule="exact"/>
        <w:rPr>
          <w:rFonts w:ascii="宋体" w:hAnsi="宋体" w:cs="宋体"/>
          <w:spacing w:val="-12"/>
          <w:sz w:val="32"/>
          <w:szCs w:val="32"/>
        </w:rPr>
      </w:pPr>
      <w:r>
        <w:rPr>
          <w:rFonts w:hint="eastAsia" w:ascii="宋体" w:hAnsi="宋体" w:cs="宋体"/>
          <w:spacing w:val="-12"/>
          <w:sz w:val="32"/>
          <w:szCs w:val="32"/>
        </w:rPr>
        <w:t>（二）</w:t>
      </w:r>
      <w:bookmarkEnd w:id="103"/>
      <w:bookmarkEnd w:id="104"/>
      <w:bookmarkEnd w:id="105"/>
      <w:r>
        <w:rPr>
          <w:rFonts w:hint="eastAsia" w:ascii="宋体" w:hAnsi="宋体" w:cs="宋体"/>
          <w:spacing w:val="-12"/>
          <w:sz w:val="32"/>
          <w:szCs w:val="32"/>
        </w:rPr>
        <w:t>近年完成的类似项目情况表</w:t>
      </w:r>
    </w:p>
    <w:p w14:paraId="786161C4">
      <w:pPr>
        <w:spacing w:before="111"/>
      </w:pPr>
    </w:p>
    <w:tbl>
      <w:tblPr>
        <w:tblStyle w:val="31"/>
        <w:tblW w:w="799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1512"/>
        <w:gridCol w:w="1575"/>
        <w:gridCol w:w="1475"/>
        <w:gridCol w:w="1438"/>
      </w:tblGrid>
      <w:tr w14:paraId="593A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98" w:type="dxa"/>
            <w:vAlign w:val="center"/>
          </w:tcPr>
          <w:p w14:paraId="6812FF38">
            <w:pPr>
              <w:pStyle w:val="51"/>
              <w:spacing w:before="294" w:line="221" w:lineRule="auto"/>
              <w:jc w:val="center"/>
              <w:rPr>
                <w:b/>
                <w:sz w:val="21"/>
                <w:szCs w:val="21"/>
                <w:lang w:eastAsia="zh-CN"/>
              </w:rPr>
            </w:pPr>
            <w:r>
              <w:rPr>
                <w:rFonts w:hint="eastAsia"/>
                <w:b/>
                <w:color w:val="auto"/>
                <w:spacing w:val="-1"/>
                <w:sz w:val="21"/>
                <w:szCs w:val="21"/>
              </w:rPr>
              <w:t>项</w:t>
            </w:r>
            <w:r>
              <w:rPr>
                <w:rFonts w:hint="eastAsia"/>
                <w:b/>
                <w:color w:val="auto"/>
                <w:sz w:val="21"/>
                <w:szCs w:val="21"/>
              </w:rPr>
              <w:t>目</w:t>
            </w:r>
            <w:r>
              <w:rPr>
                <w:rFonts w:hint="eastAsia"/>
                <w:b/>
                <w:color w:val="auto"/>
                <w:spacing w:val="-1"/>
                <w:sz w:val="21"/>
                <w:szCs w:val="21"/>
              </w:rPr>
              <w:t>指</w:t>
            </w:r>
            <w:r>
              <w:rPr>
                <w:rFonts w:hint="eastAsia"/>
                <w:b/>
                <w:color w:val="auto"/>
                <w:sz w:val="21"/>
                <w:szCs w:val="21"/>
              </w:rPr>
              <w:t>标</w:t>
            </w:r>
          </w:p>
        </w:tc>
        <w:tc>
          <w:tcPr>
            <w:tcW w:w="1512" w:type="dxa"/>
            <w:vAlign w:val="center"/>
          </w:tcPr>
          <w:p w14:paraId="354D1B1D">
            <w:pPr>
              <w:pStyle w:val="51"/>
              <w:spacing w:before="68" w:line="184" w:lineRule="auto"/>
              <w:jc w:val="center"/>
              <w:rPr>
                <w:b/>
                <w:sz w:val="21"/>
                <w:szCs w:val="21"/>
              </w:rPr>
            </w:pPr>
            <w:r>
              <w:rPr>
                <w:b/>
                <w:sz w:val="21"/>
                <w:szCs w:val="21"/>
              </w:rPr>
              <w:t>1</w:t>
            </w:r>
          </w:p>
        </w:tc>
        <w:tc>
          <w:tcPr>
            <w:tcW w:w="1575" w:type="dxa"/>
            <w:vAlign w:val="center"/>
          </w:tcPr>
          <w:p w14:paraId="16BD7AEF">
            <w:pPr>
              <w:pStyle w:val="51"/>
              <w:spacing w:before="68" w:line="184" w:lineRule="auto"/>
              <w:jc w:val="center"/>
              <w:rPr>
                <w:b/>
                <w:sz w:val="21"/>
                <w:szCs w:val="21"/>
                <w:lang w:eastAsia="zh-CN"/>
              </w:rPr>
            </w:pPr>
            <w:r>
              <w:rPr>
                <w:rFonts w:hint="eastAsia"/>
                <w:b/>
                <w:sz w:val="21"/>
                <w:szCs w:val="21"/>
                <w:lang w:eastAsia="zh-CN"/>
              </w:rPr>
              <w:t>2</w:t>
            </w:r>
          </w:p>
        </w:tc>
        <w:tc>
          <w:tcPr>
            <w:tcW w:w="1475" w:type="dxa"/>
            <w:vAlign w:val="center"/>
          </w:tcPr>
          <w:p w14:paraId="0B14FE9F">
            <w:pPr>
              <w:pStyle w:val="51"/>
              <w:spacing w:before="68" w:line="184" w:lineRule="auto"/>
              <w:jc w:val="center"/>
              <w:rPr>
                <w:b/>
                <w:sz w:val="21"/>
                <w:szCs w:val="21"/>
                <w:lang w:eastAsia="zh-CN"/>
              </w:rPr>
            </w:pPr>
            <w:r>
              <w:rPr>
                <w:rFonts w:hint="eastAsia"/>
                <w:b/>
                <w:sz w:val="21"/>
                <w:szCs w:val="21"/>
                <w:lang w:eastAsia="zh-CN"/>
              </w:rPr>
              <w:t>3</w:t>
            </w:r>
          </w:p>
        </w:tc>
        <w:tc>
          <w:tcPr>
            <w:tcW w:w="1438" w:type="dxa"/>
            <w:vAlign w:val="center"/>
          </w:tcPr>
          <w:p w14:paraId="07BCAEA8">
            <w:pPr>
              <w:pStyle w:val="51"/>
              <w:spacing w:before="68" w:line="184" w:lineRule="auto"/>
              <w:jc w:val="center"/>
              <w:rPr>
                <w:b/>
                <w:sz w:val="21"/>
                <w:szCs w:val="21"/>
                <w:lang w:eastAsia="zh-CN"/>
              </w:rPr>
            </w:pPr>
            <w:r>
              <w:rPr>
                <w:rFonts w:hint="eastAsia"/>
                <w:b/>
                <w:sz w:val="21"/>
                <w:szCs w:val="21"/>
                <w:lang w:eastAsia="zh-CN"/>
              </w:rPr>
              <w:t>...</w:t>
            </w:r>
          </w:p>
        </w:tc>
      </w:tr>
      <w:tr w14:paraId="5254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998" w:type="dxa"/>
            <w:vAlign w:val="center"/>
          </w:tcPr>
          <w:p w14:paraId="0231AA31">
            <w:pPr>
              <w:pStyle w:val="51"/>
              <w:spacing w:before="300" w:line="220" w:lineRule="auto"/>
              <w:jc w:val="center"/>
              <w:rPr>
                <w:sz w:val="21"/>
                <w:szCs w:val="21"/>
              </w:rPr>
            </w:pPr>
            <w:r>
              <w:rPr>
                <w:spacing w:val="2"/>
                <w:sz w:val="21"/>
                <w:szCs w:val="21"/>
              </w:rPr>
              <w:t>项目名称</w:t>
            </w:r>
          </w:p>
        </w:tc>
        <w:tc>
          <w:tcPr>
            <w:tcW w:w="1512" w:type="dxa"/>
            <w:vAlign w:val="center"/>
          </w:tcPr>
          <w:p w14:paraId="4ECCE8A2">
            <w:pPr>
              <w:jc w:val="center"/>
            </w:pPr>
          </w:p>
        </w:tc>
        <w:tc>
          <w:tcPr>
            <w:tcW w:w="1575" w:type="dxa"/>
            <w:vAlign w:val="center"/>
          </w:tcPr>
          <w:p w14:paraId="31DAB86A">
            <w:pPr>
              <w:jc w:val="center"/>
            </w:pPr>
          </w:p>
        </w:tc>
        <w:tc>
          <w:tcPr>
            <w:tcW w:w="1475" w:type="dxa"/>
            <w:vAlign w:val="center"/>
          </w:tcPr>
          <w:p w14:paraId="129D37F6">
            <w:pPr>
              <w:jc w:val="center"/>
            </w:pPr>
          </w:p>
        </w:tc>
        <w:tc>
          <w:tcPr>
            <w:tcW w:w="1438" w:type="dxa"/>
            <w:vAlign w:val="center"/>
          </w:tcPr>
          <w:p w14:paraId="1F1DAD5A">
            <w:pPr>
              <w:jc w:val="center"/>
            </w:pPr>
          </w:p>
        </w:tc>
      </w:tr>
      <w:tr w14:paraId="0E32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998" w:type="dxa"/>
            <w:vAlign w:val="center"/>
          </w:tcPr>
          <w:p w14:paraId="68332503">
            <w:pPr>
              <w:pStyle w:val="51"/>
              <w:spacing w:before="292" w:line="221" w:lineRule="auto"/>
              <w:jc w:val="center"/>
              <w:rPr>
                <w:sz w:val="21"/>
                <w:szCs w:val="21"/>
                <w:lang w:eastAsia="zh-CN"/>
              </w:rPr>
            </w:pPr>
            <w:r>
              <w:rPr>
                <w:spacing w:val="-2"/>
                <w:sz w:val="21"/>
                <w:szCs w:val="21"/>
              </w:rPr>
              <w:t>委托方</w:t>
            </w:r>
            <w:r>
              <w:rPr>
                <w:rFonts w:hint="eastAsia"/>
                <w:spacing w:val="-2"/>
                <w:sz w:val="21"/>
                <w:szCs w:val="21"/>
                <w:lang w:eastAsia="zh-CN"/>
              </w:rPr>
              <w:t>名称</w:t>
            </w:r>
          </w:p>
        </w:tc>
        <w:tc>
          <w:tcPr>
            <w:tcW w:w="1512" w:type="dxa"/>
            <w:vAlign w:val="center"/>
          </w:tcPr>
          <w:p w14:paraId="57991F14">
            <w:pPr>
              <w:jc w:val="center"/>
            </w:pPr>
          </w:p>
        </w:tc>
        <w:tc>
          <w:tcPr>
            <w:tcW w:w="1575" w:type="dxa"/>
            <w:vAlign w:val="center"/>
          </w:tcPr>
          <w:p w14:paraId="551B82F7">
            <w:pPr>
              <w:jc w:val="center"/>
            </w:pPr>
          </w:p>
        </w:tc>
        <w:tc>
          <w:tcPr>
            <w:tcW w:w="1475" w:type="dxa"/>
            <w:vAlign w:val="center"/>
          </w:tcPr>
          <w:p w14:paraId="550ED28A">
            <w:pPr>
              <w:jc w:val="center"/>
            </w:pPr>
          </w:p>
        </w:tc>
        <w:tc>
          <w:tcPr>
            <w:tcW w:w="1438" w:type="dxa"/>
            <w:vAlign w:val="center"/>
          </w:tcPr>
          <w:p w14:paraId="5EAA5495">
            <w:pPr>
              <w:jc w:val="center"/>
            </w:pPr>
          </w:p>
        </w:tc>
      </w:tr>
      <w:tr w14:paraId="644B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998" w:type="dxa"/>
            <w:vAlign w:val="center"/>
          </w:tcPr>
          <w:p w14:paraId="01F0C370">
            <w:pPr>
              <w:pStyle w:val="51"/>
              <w:spacing w:before="68" w:line="219" w:lineRule="auto"/>
              <w:jc w:val="center"/>
              <w:rPr>
                <w:sz w:val="21"/>
                <w:szCs w:val="21"/>
              </w:rPr>
            </w:pPr>
            <w:r>
              <w:rPr>
                <w:rFonts w:hint="eastAsia"/>
                <w:spacing w:val="-2"/>
                <w:sz w:val="21"/>
                <w:szCs w:val="21"/>
                <w:lang w:eastAsia="zh-CN"/>
              </w:rPr>
              <w:t>项目</w:t>
            </w:r>
            <w:r>
              <w:rPr>
                <w:spacing w:val="-2"/>
                <w:sz w:val="21"/>
                <w:szCs w:val="21"/>
              </w:rPr>
              <w:t>内容描述</w:t>
            </w:r>
          </w:p>
        </w:tc>
        <w:tc>
          <w:tcPr>
            <w:tcW w:w="1512" w:type="dxa"/>
            <w:vAlign w:val="center"/>
          </w:tcPr>
          <w:p w14:paraId="0C9EAE1D">
            <w:pPr>
              <w:jc w:val="center"/>
            </w:pPr>
          </w:p>
        </w:tc>
        <w:tc>
          <w:tcPr>
            <w:tcW w:w="1575" w:type="dxa"/>
            <w:vAlign w:val="center"/>
          </w:tcPr>
          <w:p w14:paraId="0BC69E36">
            <w:pPr>
              <w:jc w:val="center"/>
            </w:pPr>
          </w:p>
        </w:tc>
        <w:tc>
          <w:tcPr>
            <w:tcW w:w="1475" w:type="dxa"/>
            <w:vAlign w:val="center"/>
          </w:tcPr>
          <w:p w14:paraId="745C6DD9">
            <w:pPr>
              <w:jc w:val="center"/>
            </w:pPr>
          </w:p>
        </w:tc>
        <w:tc>
          <w:tcPr>
            <w:tcW w:w="1438" w:type="dxa"/>
            <w:vAlign w:val="center"/>
          </w:tcPr>
          <w:p w14:paraId="70914C8A">
            <w:pPr>
              <w:jc w:val="center"/>
            </w:pPr>
          </w:p>
        </w:tc>
      </w:tr>
      <w:tr w14:paraId="22BB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98" w:type="dxa"/>
            <w:vAlign w:val="center"/>
          </w:tcPr>
          <w:p w14:paraId="11B9F3EF">
            <w:pPr>
              <w:pStyle w:val="51"/>
              <w:spacing w:before="286" w:line="220" w:lineRule="auto"/>
              <w:jc w:val="center"/>
              <w:rPr>
                <w:sz w:val="21"/>
                <w:szCs w:val="21"/>
                <w:lang w:eastAsia="zh-CN"/>
              </w:rPr>
            </w:pPr>
            <w:r>
              <w:rPr>
                <w:rFonts w:hint="eastAsia"/>
                <w:spacing w:val="2"/>
                <w:sz w:val="21"/>
                <w:szCs w:val="21"/>
                <w:lang w:eastAsia="zh-CN"/>
              </w:rPr>
              <w:t>完成情况</w:t>
            </w:r>
          </w:p>
        </w:tc>
        <w:tc>
          <w:tcPr>
            <w:tcW w:w="1512" w:type="dxa"/>
            <w:vAlign w:val="center"/>
          </w:tcPr>
          <w:p w14:paraId="6471126E">
            <w:pPr>
              <w:jc w:val="center"/>
            </w:pPr>
          </w:p>
        </w:tc>
        <w:tc>
          <w:tcPr>
            <w:tcW w:w="1575" w:type="dxa"/>
            <w:vAlign w:val="center"/>
          </w:tcPr>
          <w:p w14:paraId="557E5310">
            <w:pPr>
              <w:jc w:val="center"/>
            </w:pPr>
          </w:p>
        </w:tc>
        <w:tc>
          <w:tcPr>
            <w:tcW w:w="1475" w:type="dxa"/>
            <w:vAlign w:val="center"/>
          </w:tcPr>
          <w:p w14:paraId="1D037878">
            <w:pPr>
              <w:jc w:val="center"/>
            </w:pPr>
          </w:p>
        </w:tc>
        <w:tc>
          <w:tcPr>
            <w:tcW w:w="1438" w:type="dxa"/>
            <w:vAlign w:val="center"/>
          </w:tcPr>
          <w:p w14:paraId="08B7A372">
            <w:pPr>
              <w:jc w:val="center"/>
            </w:pPr>
          </w:p>
        </w:tc>
      </w:tr>
      <w:tr w14:paraId="530B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998" w:type="dxa"/>
            <w:vAlign w:val="center"/>
          </w:tcPr>
          <w:p w14:paraId="5F222C0B">
            <w:pPr>
              <w:pStyle w:val="51"/>
              <w:jc w:val="center"/>
              <w:rPr>
                <w:sz w:val="21"/>
                <w:szCs w:val="21"/>
                <w:lang w:eastAsia="zh-CN"/>
              </w:rPr>
            </w:pPr>
            <w:r>
              <w:rPr>
                <w:spacing w:val="-2"/>
                <w:sz w:val="21"/>
                <w:szCs w:val="21"/>
                <w:lang w:eastAsia="zh-CN"/>
              </w:rPr>
              <w:t>合同</w:t>
            </w:r>
            <w:r>
              <w:rPr>
                <w:rFonts w:hint="eastAsia"/>
                <w:spacing w:val="-2"/>
                <w:sz w:val="21"/>
                <w:szCs w:val="21"/>
                <w:lang w:eastAsia="zh-CN"/>
              </w:rPr>
              <w:t>签订情况/来往对公发票/银行进账凭证</w:t>
            </w:r>
          </w:p>
        </w:tc>
        <w:tc>
          <w:tcPr>
            <w:tcW w:w="1512" w:type="dxa"/>
            <w:vAlign w:val="center"/>
          </w:tcPr>
          <w:p w14:paraId="318D6B8F">
            <w:pPr>
              <w:spacing w:line="300" w:lineRule="exact"/>
              <w:jc w:val="center"/>
            </w:pPr>
          </w:p>
        </w:tc>
        <w:tc>
          <w:tcPr>
            <w:tcW w:w="1575" w:type="dxa"/>
            <w:vAlign w:val="center"/>
          </w:tcPr>
          <w:p w14:paraId="014CB069">
            <w:pPr>
              <w:spacing w:line="300" w:lineRule="exact"/>
              <w:jc w:val="center"/>
            </w:pPr>
          </w:p>
        </w:tc>
        <w:tc>
          <w:tcPr>
            <w:tcW w:w="1475" w:type="dxa"/>
            <w:vAlign w:val="center"/>
          </w:tcPr>
          <w:p w14:paraId="6B91A1CB">
            <w:pPr>
              <w:spacing w:line="300" w:lineRule="exact"/>
              <w:jc w:val="center"/>
            </w:pPr>
          </w:p>
        </w:tc>
        <w:tc>
          <w:tcPr>
            <w:tcW w:w="1438" w:type="dxa"/>
            <w:vAlign w:val="center"/>
          </w:tcPr>
          <w:p w14:paraId="6F73E49D">
            <w:pPr>
              <w:spacing w:line="300" w:lineRule="exact"/>
              <w:jc w:val="center"/>
            </w:pPr>
          </w:p>
        </w:tc>
      </w:tr>
      <w:tr w14:paraId="37B3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98" w:type="dxa"/>
            <w:vAlign w:val="center"/>
          </w:tcPr>
          <w:p w14:paraId="0917665E">
            <w:pPr>
              <w:pStyle w:val="51"/>
              <w:spacing w:before="297" w:line="300" w:lineRule="exact"/>
              <w:jc w:val="center"/>
              <w:rPr>
                <w:spacing w:val="-2"/>
                <w:sz w:val="21"/>
                <w:szCs w:val="21"/>
                <w:lang w:eastAsia="zh-CN"/>
              </w:rPr>
            </w:pPr>
            <w:r>
              <w:rPr>
                <w:rFonts w:hint="eastAsia"/>
                <w:spacing w:val="-2"/>
                <w:sz w:val="21"/>
                <w:szCs w:val="21"/>
                <w:lang w:eastAsia="zh-CN"/>
              </w:rPr>
              <w:t>备注</w:t>
            </w:r>
          </w:p>
        </w:tc>
        <w:tc>
          <w:tcPr>
            <w:tcW w:w="1512" w:type="dxa"/>
            <w:vAlign w:val="center"/>
          </w:tcPr>
          <w:p w14:paraId="62F00CDF">
            <w:pPr>
              <w:spacing w:line="300" w:lineRule="exact"/>
              <w:jc w:val="center"/>
            </w:pPr>
          </w:p>
        </w:tc>
        <w:tc>
          <w:tcPr>
            <w:tcW w:w="1575" w:type="dxa"/>
            <w:vAlign w:val="center"/>
          </w:tcPr>
          <w:p w14:paraId="3ED9BBE5">
            <w:pPr>
              <w:spacing w:line="300" w:lineRule="exact"/>
              <w:jc w:val="center"/>
            </w:pPr>
          </w:p>
        </w:tc>
        <w:tc>
          <w:tcPr>
            <w:tcW w:w="1475" w:type="dxa"/>
            <w:vAlign w:val="center"/>
          </w:tcPr>
          <w:p w14:paraId="020110EC">
            <w:pPr>
              <w:spacing w:line="300" w:lineRule="exact"/>
              <w:jc w:val="center"/>
            </w:pPr>
          </w:p>
        </w:tc>
        <w:tc>
          <w:tcPr>
            <w:tcW w:w="1438" w:type="dxa"/>
            <w:vAlign w:val="center"/>
          </w:tcPr>
          <w:p w14:paraId="46426615">
            <w:pPr>
              <w:spacing w:line="300" w:lineRule="exact"/>
              <w:jc w:val="center"/>
            </w:pPr>
          </w:p>
        </w:tc>
      </w:tr>
    </w:tbl>
    <w:p w14:paraId="5B81262D"/>
    <w:p w14:paraId="3349D8C5"/>
    <w:p w14:paraId="6F9D5018">
      <w:pPr>
        <w:pStyle w:val="2"/>
      </w:pPr>
    </w:p>
    <w:p w14:paraId="543E5D9B">
      <w:pPr>
        <w:spacing w:line="480" w:lineRule="exact"/>
        <w:ind w:left="560" w:firstLine="1940" w:firstLineChars="1000"/>
        <w:rPr>
          <w:rFonts w:ascii="宋体" w:hAnsi="宋体" w:eastAsia="宋体" w:cs="宋体"/>
          <w:spacing w:val="6"/>
          <w:u w:val="single"/>
        </w:rPr>
      </w:pPr>
      <w:r>
        <w:rPr>
          <w:rFonts w:hint="eastAsia" w:ascii="宋体" w:hAnsi="宋体" w:eastAsia="宋体" w:cs="宋体"/>
          <w:spacing w:val="-8"/>
        </w:rPr>
        <w:t xml:space="preserve">       </w:t>
      </w: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632A3EE4">
      <w:pPr>
        <w:spacing w:line="400" w:lineRule="exact"/>
        <w:ind w:right="69"/>
        <w:rPr>
          <w:rFonts w:ascii="宋体" w:hAnsi="宋体" w:eastAsia="宋体" w:cs="宋体"/>
          <w:spacing w:val="21"/>
        </w:rPr>
      </w:pPr>
    </w:p>
    <w:p w14:paraId="40181F75">
      <w:pPr>
        <w:pStyle w:val="2"/>
        <w:rPr>
          <w:rFonts w:ascii="宋体" w:hAnsi="宋体" w:cs="宋体"/>
          <w:spacing w:val="21"/>
          <w:sz w:val="21"/>
        </w:rPr>
      </w:pPr>
    </w:p>
    <w:p w14:paraId="1D0F3990">
      <w:pPr>
        <w:rPr>
          <w:rFonts w:ascii="宋体" w:hAnsi="宋体" w:eastAsia="宋体" w:cs="宋体"/>
          <w:spacing w:val="21"/>
        </w:rPr>
      </w:pPr>
    </w:p>
    <w:p w14:paraId="7820415A">
      <w:pPr>
        <w:pStyle w:val="2"/>
      </w:pPr>
    </w:p>
    <w:p w14:paraId="0DB848F3">
      <w:pPr>
        <w:spacing w:line="400" w:lineRule="exact"/>
        <w:ind w:right="69" w:firstLine="504" w:firstLineChars="200"/>
        <w:rPr>
          <w:rFonts w:ascii="宋体" w:hAnsi="宋体" w:eastAsia="宋体" w:cs="宋体"/>
          <w:spacing w:val="21"/>
        </w:rPr>
      </w:pPr>
      <w:r>
        <w:rPr>
          <w:rFonts w:hint="eastAsia" w:ascii="宋体" w:hAnsi="宋体" w:eastAsia="宋体" w:cs="宋体"/>
          <w:spacing w:val="21"/>
        </w:rPr>
        <w:t>注：</w:t>
      </w:r>
    </w:p>
    <w:p w14:paraId="3579D185">
      <w:pPr>
        <w:spacing w:line="400" w:lineRule="exact"/>
        <w:ind w:right="69" w:firstLine="504" w:firstLineChars="200"/>
        <w:rPr>
          <w:rFonts w:ascii="宋体" w:hAnsi="宋体" w:eastAsia="宋体" w:cs="宋体"/>
        </w:rPr>
      </w:pPr>
      <w:r>
        <w:rPr>
          <w:rFonts w:hint="eastAsia" w:ascii="宋体" w:hAnsi="宋体" w:eastAsia="宋体" w:cs="宋体"/>
          <w:spacing w:val="21"/>
        </w:rPr>
        <w:t>(1)比选申请人将近三年</w:t>
      </w:r>
      <w:r>
        <w:rPr>
          <w:rFonts w:hint="eastAsia" w:ascii="宋体" w:hAnsi="宋体" w:eastAsia="宋体" w:cs="宋体"/>
          <w:color w:val="auto"/>
          <w:spacing w:val="-3"/>
        </w:rPr>
        <w:t>（</w:t>
      </w:r>
      <w:r>
        <w:rPr>
          <w:rFonts w:hint="eastAsia" w:ascii="宋体" w:hAnsi="宋体" w:eastAsia="宋体" w:cs="宋体"/>
          <w:color w:val="auto"/>
          <w:spacing w:val="-3"/>
          <w:u w:val="single"/>
        </w:rPr>
        <w:t xml:space="preserve"> 2022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6</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w:t>
      </w:r>
      <w:r>
        <w:rPr>
          <w:rFonts w:hint="eastAsia" w:ascii="宋体" w:hAnsi="宋体" w:eastAsia="宋体" w:cs="宋体"/>
          <w:spacing w:val="21"/>
        </w:rPr>
        <w:t>承担过的</w:t>
      </w:r>
      <w:r>
        <w:rPr>
          <w:rFonts w:hint="eastAsia" w:ascii="宋体" w:hAnsi="宋体" w:eastAsia="宋体" w:cs="宋体"/>
          <w:spacing w:val="4"/>
        </w:rPr>
        <w:t>类似项目业绩情况填入本表中。本表格可续页，每张表格可填写1个业绩，也可填写多个业绩；</w:t>
      </w:r>
    </w:p>
    <w:p w14:paraId="0F515ACB">
      <w:pPr>
        <w:pStyle w:val="2"/>
        <w:ind w:firstLine="504" w:firstLineChars="200"/>
        <w:rPr>
          <w:rFonts w:ascii="宋体" w:hAnsi="宋体" w:cs="宋体"/>
          <w:spacing w:val="21"/>
          <w:sz w:val="21"/>
        </w:rPr>
      </w:pPr>
      <w:r>
        <w:rPr>
          <w:rFonts w:hint="eastAsia" w:ascii="宋体" w:hAnsi="宋体" w:cs="宋体"/>
          <w:spacing w:val="21"/>
          <w:sz w:val="21"/>
        </w:rPr>
        <w:t>(2)比选申请人所列项目需将采购合同文件或任意一月来往的全部或部分发票或银行进账凭证影印件（黑白或彩色）作为证明材料附于本表后。</w:t>
      </w:r>
    </w:p>
    <w:p w14:paraId="0E7F8AE2">
      <w:pPr>
        <w:rPr>
          <w:rFonts w:ascii="宋体" w:hAnsi="宋体" w:eastAsia="宋体" w:cs="宋体"/>
          <w:spacing w:val="21"/>
        </w:rPr>
      </w:pPr>
    </w:p>
    <w:p w14:paraId="73B87AF6">
      <w:pPr>
        <w:pStyle w:val="2"/>
        <w:rPr>
          <w:rFonts w:ascii="宋体" w:hAnsi="宋体" w:cs="宋体"/>
          <w:spacing w:val="21"/>
          <w:sz w:val="21"/>
        </w:rPr>
      </w:pPr>
    </w:p>
    <w:p w14:paraId="14119A62"/>
    <w:p w14:paraId="6DA6CACD">
      <w:pPr>
        <w:pStyle w:val="2"/>
      </w:pPr>
    </w:p>
    <w:p w14:paraId="515331E7">
      <w:pPr>
        <w:pStyle w:val="2"/>
      </w:pPr>
    </w:p>
    <w:p w14:paraId="1D2BDC03">
      <w:pPr>
        <w:spacing w:line="480" w:lineRule="exact"/>
        <w:jc w:val="center"/>
        <w:rPr>
          <w:rFonts w:ascii="宋体" w:hAnsi="宋体" w:eastAsia="宋体" w:cs="宋体"/>
          <w:sz w:val="32"/>
          <w:szCs w:val="32"/>
        </w:rPr>
      </w:pPr>
      <w:r>
        <w:rPr>
          <w:rFonts w:hint="eastAsia" w:ascii="宋体" w:hAnsi="宋体" w:eastAsia="宋体" w:cs="宋体"/>
          <w:b/>
          <w:bCs/>
          <w:spacing w:val="22"/>
          <w:sz w:val="32"/>
          <w:szCs w:val="32"/>
        </w:rPr>
        <w:t>（三）比选申请人信誉情况</w:t>
      </w:r>
    </w:p>
    <w:p w14:paraId="230704A5">
      <w:pPr>
        <w:pStyle w:val="2"/>
        <w:spacing w:line="480" w:lineRule="exact"/>
        <w:rPr>
          <w:rFonts w:ascii="宋体" w:hAnsi="宋体" w:cs="宋体"/>
          <w:sz w:val="21"/>
        </w:rPr>
      </w:pPr>
    </w:p>
    <w:p w14:paraId="648C3D89">
      <w:pPr>
        <w:spacing w:line="360" w:lineRule="auto"/>
        <w:rPr>
          <w:rFonts w:ascii="宋体" w:hAnsi="宋体" w:eastAsia="宋体" w:cs="宋体"/>
          <w:color w:val="auto"/>
        </w:rPr>
      </w:pPr>
      <w:r>
        <w:rPr>
          <w:rFonts w:hint="eastAsia" w:ascii="宋体" w:hAnsi="宋体" w:eastAsia="宋体" w:cs="宋体"/>
          <w:color w:val="auto"/>
        </w:rPr>
        <w:t>比选申请人在此必须附下列证明材料：</w:t>
      </w:r>
    </w:p>
    <w:p w14:paraId="297E7B35">
      <w:pPr>
        <w:spacing w:line="360" w:lineRule="auto"/>
        <w:ind w:firstLine="420" w:firstLineChars="200"/>
        <w:rPr>
          <w:rFonts w:ascii="宋体" w:hAnsi="宋体" w:eastAsia="宋体" w:cs="宋体"/>
          <w:color w:val="auto"/>
        </w:rPr>
      </w:pPr>
      <w:r>
        <w:rPr>
          <w:rFonts w:hint="eastAsia" w:ascii="宋体" w:hAnsi="宋体" w:eastAsia="宋体" w:cs="宋体"/>
          <w:color w:val="auto"/>
        </w:rPr>
        <w:t>1、国家企业信用信息公示系统（http://www.gsxt.gov.cn）严重违法失信企业名单查询网页信息资料（黑白或彩色）；</w:t>
      </w:r>
    </w:p>
    <w:p w14:paraId="74F16B42">
      <w:pPr>
        <w:spacing w:line="360" w:lineRule="auto"/>
        <w:ind w:firstLine="420" w:firstLineChars="200"/>
        <w:rPr>
          <w:rFonts w:ascii="宋体" w:hAnsi="宋体" w:eastAsia="宋体" w:cs="宋体"/>
          <w:color w:val="auto"/>
        </w:rPr>
      </w:pPr>
      <w:r>
        <w:rPr>
          <w:rFonts w:hint="eastAsia" w:ascii="宋体" w:hAnsi="宋体" w:eastAsia="宋体" w:cs="宋体"/>
          <w:color w:val="auto"/>
        </w:rPr>
        <w:t>2、“信用中国”网站http://www.creditchina.gov.cn中失信被执行人查询网页信息资料（黑白或彩色）；</w:t>
      </w:r>
    </w:p>
    <w:p w14:paraId="38375DEE">
      <w:pPr>
        <w:spacing w:line="480" w:lineRule="exact"/>
        <w:ind w:left="25" w:right="49" w:firstLine="529"/>
        <w:rPr>
          <w:rFonts w:ascii="宋体" w:hAnsi="宋体" w:eastAsia="宋体" w:cs="宋体"/>
          <w:spacing w:val="9"/>
        </w:rPr>
      </w:pPr>
      <w:r>
        <w:rPr>
          <w:rFonts w:hint="eastAsia" w:ascii="宋体" w:hAnsi="宋体" w:eastAsia="宋体" w:cs="宋体"/>
          <w:color w:val="auto"/>
        </w:rPr>
        <w:t>3、在2022年</w:t>
      </w:r>
      <w:r>
        <w:rPr>
          <w:rFonts w:hint="eastAsia" w:ascii="宋体" w:hAnsi="宋体" w:eastAsia="宋体" w:cs="宋体"/>
          <w:color w:val="auto"/>
          <w:lang w:val="en-US" w:eastAsia="zh-CN"/>
        </w:rPr>
        <w:t>6</w:t>
      </w:r>
      <w:r>
        <w:rPr>
          <w:rFonts w:hint="eastAsia" w:ascii="宋体" w:hAnsi="宋体" w:eastAsia="宋体" w:cs="宋体"/>
          <w:color w:val="auto"/>
        </w:rPr>
        <w:t>月</w:t>
      </w:r>
      <w:r>
        <w:rPr>
          <w:rFonts w:hint="eastAsia" w:ascii="宋体" w:hAnsi="宋体" w:eastAsia="宋体" w:cs="宋体"/>
          <w:color w:val="auto"/>
          <w:lang w:val="en-US" w:eastAsia="zh-CN"/>
        </w:rPr>
        <w:t>1</w:t>
      </w:r>
      <w:r>
        <w:rPr>
          <w:rFonts w:hint="eastAsia" w:ascii="宋体" w:hAnsi="宋体" w:eastAsia="宋体" w:cs="宋体"/>
          <w:color w:val="auto"/>
        </w:rPr>
        <w:t>日至本项目比选申请截止日期间，比选申请人（单位）、法定代表人被人民法院生效判决或裁定认定为行贿犯罪的（包括行贿罪、单位行贿罪、对单位行贿罪、介绍贿赂罪等）（格式后附）。</w:t>
      </w:r>
    </w:p>
    <w:p w14:paraId="656E31B4">
      <w:pPr>
        <w:spacing w:before="151" w:line="290" w:lineRule="auto"/>
        <w:ind w:left="25" w:right="49" w:firstLine="529"/>
        <w:rPr>
          <w:rFonts w:ascii="宋体" w:hAnsi="宋体" w:eastAsia="宋体" w:cs="宋体"/>
          <w:spacing w:val="9"/>
        </w:rPr>
      </w:pPr>
    </w:p>
    <w:p w14:paraId="5D0E4CEA">
      <w:pPr>
        <w:spacing w:before="151" w:line="290" w:lineRule="auto"/>
        <w:ind w:left="25" w:right="49" w:firstLine="529"/>
        <w:rPr>
          <w:rFonts w:ascii="宋体" w:hAnsi="宋体" w:eastAsia="宋体" w:cs="宋体"/>
          <w:spacing w:val="9"/>
        </w:rPr>
      </w:pPr>
    </w:p>
    <w:p w14:paraId="2F595958">
      <w:pPr>
        <w:spacing w:before="151" w:line="290" w:lineRule="auto"/>
        <w:ind w:left="25" w:right="49" w:firstLine="529"/>
        <w:rPr>
          <w:rFonts w:ascii="宋体" w:hAnsi="宋体" w:eastAsia="宋体" w:cs="宋体"/>
          <w:spacing w:val="9"/>
        </w:rPr>
      </w:pPr>
    </w:p>
    <w:p w14:paraId="3F16AE28">
      <w:pPr>
        <w:spacing w:before="151" w:line="290" w:lineRule="auto"/>
        <w:ind w:left="25" w:right="49" w:firstLine="529"/>
        <w:rPr>
          <w:rFonts w:ascii="宋体" w:hAnsi="宋体" w:eastAsia="宋体" w:cs="宋体"/>
          <w:spacing w:val="9"/>
        </w:rPr>
      </w:pPr>
    </w:p>
    <w:p w14:paraId="463C690F">
      <w:pPr>
        <w:spacing w:before="151" w:line="290" w:lineRule="auto"/>
        <w:ind w:left="25" w:right="49" w:firstLine="529"/>
        <w:rPr>
          <w:rFonts w:ascii="宋体" w:hAnsi="宋体" w:eastAsia="宋体" w:cs="宋体"/>
          <w:spacing w:val="9"/>
        </w:rPr>
      </w:pPr>
    </w:p>
    <w:p w14:paraId="6518F8B5">
      <w:pPr>
        <w:spacing w:before="151" w:line="290" w:lineRule="auto"/>
        <w:ind w:left="25" w:right="49" w:firstLine="529"/>
        <w:rPr>
          <w:rFonts w:ascii="宋体" w:hAnsi="宋体" w:eastAsia="宋体" w:cs="宋体"/>
          <w:spacing w:val="9"/>
        </w:rPr>
      </w:pPr>
    </w:p>
    <w:p w14:paraId="670F1668">
      <w:pPr>
        <w:spacing w:before="151" w:line="290" w:lineRule="auto"/>
        <w:ind w:left="25" w:right="49" w:firstLine="529"/>
        <w:rPr>
          <w:rFonts w:ascii="宋体" w:hAnsi="宋体" w:eastAsia="宋体" w:cs="宋体"/>
          <w:spacing w:val="9"/>
        </w:rPr>
      </w:pPr>
    </w:p>
    <w:p w14:paraId="47503667">
      <w:pPr>
        <w:spacing w:before="151" w:line="290" w:lineRule="auto"/>
        <w:ind w:left="25" w:right="49" w:firstLine="529"/>
        <w:rPr>
          <w:rFonts w:ascii="宋体" w:hAnsi="宋体" w:eastAsia="宋体" w:cs="宋体"/>
          <w:spacing w:val="9"/>
        </w:rPr>
      </w:pPr>
    </w:p>
    <w:p w14:paraId="15C3A1D2">
      <w:pPr>
        <w:spacing w:before="151" w:line="290" w:lineRule="auto"/>
        <w:ind w:left="25" w:right="49" w:firstLine="529"/>
        <w:rPr>
          <w:rFonts w:ascii="宋体" w:hAnsi="宋体" w:eastAsia="宋体" w:cs="宋体"/>
          <w:spacing w:val="9"/>
        </w:rPr>
      </w:pPr>
    </w:p>
    <w:p w14:paraId="2921C014">
      <w:pPr>
        <w:spacing w:before="151" w:line="290" w:lineRule="auto"/>
        <w:ind w:left="25" w:right="49" w:firstLine="529"/>
        <w:rPr>
          <w:rFonts w:ascii="宋体" w:hAnsi="宋体" w:eastAsia="宋体" w:cs="宋体"/>
          <w:spacing w:val="9"/>
        </w:rPr>
      </w:pPr>
    </w:p>
    <w:p w14:paraId="02C8251F">
      <w:pPr>
        <w:spacing w:before="151" w:line="290" w:lineRule="auto"/>
        <w:ind w:left="25" w:right="49" w:firstLine="529"/>
        <w:rPr>
          <w:rFonts w:ascii="宋体" w:hAnsi="宋体" w:eastAsia="宋体" w:cs="宋体"/>
          <w:spacing w:val="9"/>
        </w:rPr>
      </w:pPr>
    </w:p>
    <w:p w14:paraId="5B110199">
      <w:pPr>
        <w:spacing w:line="480" w:lineRule="exact"/>
        <w:rPr>
          <w:rFonts w:ascii="宋体" w:hAnsi="宋体" w:eastAsia="宋体" w:cs="宋体"/>
          <w:b/>
          <w:bCs/>
        </w:rPr>
      </w:pPr>
    </w:p>
    <w:p w14:paraId="17EBF252">
      <w:pPr>
        <w:pStyle w:val="8"/>
      </w:pPr>
    </w:p>
    <w:p w14:paraId="5039999E">
      <w:pPr>
        <w:pStyle w:val="8"/>
        <w:rPr>
          <w:rFonts w:cs="宋体"/>
          <w:b/>
          <w:bCs/>
        </w:rPr>
      </w:pPr>
    </w:p>
    <w:p w14:paraId="243DB2DB">
      <w:pPr>
        <w:rPr>
          <w:rFonts w:ascii="宋体" w:hAnsi="宋体" w:eastAsia="宋体" w:cs="宋体"/>
          <w:b/>
          <w:bCs/>
        </w:rPr>
      </w:pPr>
    </w:p>
    <w:p w14:paraId="3365C559">
      <w:pPr>
        <w:pStyle w:val="8"/>
        <w:rPr>
          <w:rFonts w:cs="宋体"/>
          <w:b/>
          <w:bCs/>
        </w:rPr>
      </w:pPr>
    </w:p>
    <w:p w14:paraId="7DF0545C">
      <w:pPr>
        <w:rPr>
          <w:rFonts w:ascii="宋体" w:hAnsi="宋体" w:eastAsia="宋体" w:cs="宋体"/>
          <w:b/>
          <w:bCs/>
        </w:rPr>
      </w:pPr>
    </w:p>
    <w:p w14:paraId="4B52CB29">
      <w:pPr>
        <w:pStyle w:val="2"/>
        <w:rPr>
          <w:rFonts w:ascii="宋体" w:hAnsi="宋体" w:cs="宋体"/>
          <w:b/>
          <w:bCs/>
          <w:sz w:val="21"/>
        </w:rPr>
      </w:pPr>
    </w:p>
    <w:p w14:paraId="11B8CD93">
      <w:pPr>
        <w:rPr>
          <w:rFonts w:ascii="宋体" w:hAnsi="宋体" w:eastAsia="宋体" w:cs="宋体"/>
          <w:b/>
          <w:bCs/>
        </w:rPr>
      </w:pPr>
    </w:p>
    <w:p w14:paraId="1D65A71B">
      <w:pPr>
        <w:pStyle w:val="2"/>
        <w:rPr>
          <w:rFonts w:ascii="宋体" w:hAnsi="宋体" w:cs="宋体"/>
          <w:b/>
          <w:bCs/>
          <w:sz w:val="21"/>
        </w:rPr>
      </w:pPr>
    </w:p>
    <w:p w14:paraId="15F7C6A6"/>
    <w:p w14:paraId="032D46F2">
      <w:pPr>
        <w:spacing w:line="480" w:lineRule="exact"/>
        <w:jc w:val="both"/>
        <w:rPr>
          <w:rFonts w:ascii="宋体" w:hAnsi="宋体" w:eastAsia="宋体" w:cs="宋体"/>
          <w:b/>
          <w:bCs/>
          <w:sz w:val="32"/>
          <w:szCs w:val="32"/>
        </w:rPr>
      </w:pPr>
    </w:p>
    <w:p w14:paraId="1E01783C">
      <w:pPr>
        <w:spacing w:line="480" w:lineRule="exact"/>
        <w:jc w:val="center"/>
        <w:rPr>
          <w:rFonts w:ascii="宋体" w:hAnsi="宋体" w:eastAsia="宋体" w:cs="宋体"/>
          <w:sz w:val="32"/>
          <w:szCs w:val="32"/>
        </w:rPr>
      </w:pPr>
      <w:r>
        <w:rPr>
          <w:rFonts w:ascii="宋体" w:hAnsi="宋体" w:eastAsia="宋体" w:cs="宋体"/>
          <w:b/>
          <w:bCs/>
          <w:sz w:val="32"/>
          <w:szCs w:val="32"/>
        </w:rPr>
        <w:t>无行贿犯罪的承诺函</w:t>
      </w:r>
    </w:p>
    <w:p w14:paraId="0033AE17">
      <w:pPr>
        <w:pStyle w:val="2"/>
        <w:spacing w:line="480" w:lineRule="exact"/>
        <w:rPr>
          <w:sz w:val="21"/>
        </w:rPr>
      </w:pPr>
    </w:p>
    <w:p w14:paraId="4D2C38D9"/>
    <w:p w14:paraId="4EDA0B77">
      <w:pPr>
        <w:tabs>
          <w:tab w:val="left" w:pos="625"/>
        </w:tabs>
        <w:spacing w:line="480" w:lineRule="exact"/>
        <w:rPr>
          <w:rFonts w:ascii="宋体" w:hAnsi="宋体" w:eastAsia="宋体" w:cs="宋体"/>
        </w:rPr>
      </w:pPr>
      <w:r>
        <w:rPr>
          <w:rFonts w:ascii="宋体" w:hAnsi="宋体" w:eastAsia="宋体" w:cs="宋体"/>
          <w:u w:val="single"/>
        </w:rPr>
        <w:tab/>
      </w:r>
      <w:r>
        <w:rPr>
          <w:rFonts w:ascii="宋体" w:hAnsi="宋体" w:eastAsia="宋体" w:cs="宋体"/>
          <w:spacing w:val="30"/>
          <w:u w:val="single"/>
        </w:rPr>
        <w:t>(比选人名称)</w:t>
      </w:r>
      <w:r>
        <w:rPr>
          <w:rFonts w:ascii="宋体" w:hAnsi="宋体" w:eastAsia="宋体" w:cs="宋体"/>
          <w:spacing w:val="63"/>
          <w:u w:val="single"/>
        </w:rPr>
        <w:t xml:space="preserve"> </w:t>
      </w:r>
      <w:r>
        <w:rPr>
          <w:rFonts w:ascii="宋体" w:hAnsi="宋体" w:eastAsia="宋体" w:cs="宋体"/>
          <w:spacing w:val="30"/>
          <w:position w:val="2"/>
        </w:rPr>
        <w:t>:</w:t>
      </w:r>
    </w:p>
    <w:p w14:paraId="748C2862">
      <w:pPr>
        <w:spacing w:line="480" w:lineRule="exact"/>
        <w:ind w:firstLine="384" w:firstLineChars="200"/>
        <w:rPr>
          <w:rFonts w:ascii="宋体" w:hAnsi="宋体" w:eastAsia="宋体" w:cs="宋体"/>
          <w:spacing w:val="-9"/>
        </w:rPr>
      </w:pPr>
      <w:r>
        <w:rPr>
          <w:rFonts w:hint="eastAsia" w:ascii="宋体" w:hAnsi="宋体" w:eastAsia="宋体" w:cs="宋体"/>
          <w:spacing w:val="-9"/>
        </w:rPr>
        <w:t>我单位</w:t>
      </w:r>
      <w:r>
        <w:rPr>
          <w:rFonts w:hint="eastAsia" w:ascii="宋体" w:hAnsi="宋体" w:eastAsia="宋体" w:cs="宋体"/>
          <w:spacing w:val="-9"/>
          <w:u w:val="single"/>
        </w:rPr>
        <w:t xml:space="preserve">                                </w:t>
      </w:r>
      <w:r>
        <w:rPr>
          <w:rFonts w:hint="eastAsia" w:ascii="宋体" w:hAnsi="宋体" w:eastAsia="宋体" w:cs="宋体"/>
          <w:spacing w:val="-9"/>
        </w:rPr>
        <w:t>（比选申请人名称）、法定代表人</w:t>
      </w:r>
      <w:r>
        <w:rPr>
          <w:rFonts w:hint="eastAsia" w:ascii="宋体" w:hAnsi="宋体" w:eastAsia="宋体" w:cs="宋体"/>
          <w:spacing w:val="-9"/>
          <w:u w:val="single"/>
        </w:rPr>
        <w:t xml:space="preserve">               </w:t>
      </w:r>
      <w:r>
        <w:rPr>
          <w:rFonts w:hint="eastAsia" w:ascii="宋体" w:hAnsi="宋体" w:eastAsia="宋体" w:cs="宋体"/>
          <w:spacing w:val="-9"/>
        </w:rPr>
        <w:t>（姓名）在2021年12月1日至本项目比选申请截止日期间，没有被人民法院生效判决或裁定认定行贿犯罪（包括行贿罪、单位行贿罪、对单位行贿罪、介绍贿赂罪等）。若在合同协议书签订之前发现我单位人员在上述期间存在行贿犯罪的，可取消我单位中选候选人或中选人资格。若在合同执行期间发现我单位人员在上述期间存在行贿犯罪的，可扣除履约保证金作为违约金。</w:t>
      </w:r>
    </w:p>
    <w:p w14:paraId="6B0EB291">
      <w:pPr>
        <w:spacing w:line="480" w:lineRule="exact"/>
        <w:ind w:firstLine="384" w:firstLineChars="200"/>
        <w:rPr>
          <w:rFonts w:ascii="宋体" w:hAnsi="宋体" w:eastAsia="宋体" w:cs="宋体"/>
          <w:spacing w:val="-14"/>
        </w:rPr>
      </w:pPr>
      <w:r>
        <w:rPr>
          <w:rFonts w:hint="eastAsia" w:ascii="宋体" w:hAnsi="宋体" w:eastAsia="宋体" w:cs="宋体"/>
          <w:spacing w:val="-9"/>
        </w:rPr>
        <w:t>特此承诺。</w:t>
      </w:r>
    </w:p>
    <w:p w14:paraId="245D5BD9">
      <w:pPr>
        <w:spacing w:line="480" w:lineRule="exact"/>
        <w:ind w:left="4640"/>
        <w:rPr>
          <w:rFonts w:ascii="宋体" w:hAnsi="宋体" w:eastAsia="宋体" w:cs="宋体"/>
          <w:spacing w:val="-14"/>
        </w:rPr>
      </w:pPr>
    </w:p>
    <w:p w14:paraId="7DF83269">
      <w:pPr>
        <w:pStyle w:val="2"/>
      </w:pPr>
    </w:p>
    <w:p w14:paraId="5FB6B671">
      <w:pPr>
        <w:spacing w:line="480" w:lineRule="exact"/>
        <w:ind w:left="4640"/>
        <w:rPr>
          <w:rFonts w:ascii="宋体" w:hAnsi="宋体" w:eastAsia="宋体" w:cs="宋体"/>
          <w:spacing w:val="-14"/>
        </w:rPr>
      </w:pPr>
    </w:p>
    <w:p w14:paraId="241FD5BC">
      <w:pPr>
        <w:spacing w:line="480" w:lineRule="exact"/>
        <w:ind w:firstLine="3706" w:firstLineChars="1700"/>
        <w:rPr>
          <w:rFonts w:ascii="宋体" w:hAnsi="宋体" w:eastAsia="宋体" w:cs="宋体"/>
          <w:spacing w:val="4"/>
        </w:rPr>
      </w:pPr>
      <w:r>
        <w:rPr>
          <w:rFonts w:ascii="宋体" w:hAnsi="宋体" w:eastAsia="宋体" w:cs="宋体"/>
          <w:spacing w:val="4"/>
        </w:rPr>
        <w:t>比选申请人：</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rPr>
        <w:t xml:space="preserve">( </w:t>
      </w:r>
      <w:r>
        <w:rPr>
          <w:rFonts w:hint="eastAsia" w:ascii="宋体" w:hAnsi="宋体" w:eastAsia="宋体" w:cs="宋体"/>
          <w:spacing w:val="4"/>
        </w:rPr>
        <w:t>盖公章</w:t>
      </w:r>
      <w:r>
        <w:rPr>
          <w:rFonts w:ascii="宋体" w:hAnsi="宋体" w:eastAsia="宋体" w:cs="宋体"/>
          <w:spacing w:val="4"/>
        </w:rPr>
        <w:t xml:space="preserve">) </w:t>
      </w:r>
      <w:r>
        <w:rPr>
          <w:rFonts w:hint="eastAsia" w:ascii="宋体" w:hAnsi="宋体" w:eastAsia="宋体" w:cs="宋体"/>
          <w:spacing w:val="4"/>
        </w:rPr>
        <w:t xml:space="preserve">          </w:t>
      </w:r>
      <w:r>
        <w:rPr>
          <w:rFonts w:ascii="宋体" w:hAnsi="宋体" w:eastAsia="宋体" w:cs="宋体"/>
          <w:spacing w:val="4"/>
        </w:rPr>
        <w:t xml:space="preserve"> </w:t>
      </w:r>
    </w:p>
    <w:p w14:paraId="3BCFA1CD">
      <w:pPr>
        <w:spacing w:line="480" w:lineRule="exact"/>
        <w:ind w:firstLine="3706" w:firstLineChars="1700"/>
        <w:rPr>
          <w:rFonts w:ascii="宋体" w:hAnsi="宋体" w:eastAsia="宋体" w:cs="宋体"/>
          <w:spacing w:val="4"/>
        </w:rPr>
      </w:pPr>
      <w:r>
        <w:rPr>
          <w:rFonts w:ascii="宋体" w:hAnsi="宋体" w:eastAsia="宋体" w:cs="宋体"/>
          <w:spacing w:val="4"/>
        </w:rPr>
        <w:t>法定代表人</w:t>
      </w:r>
    </w:p>
    <w:p w14:paraId="11E78A4E">
      <w:pPr>
        <w:spacing w:line="480" w:lineRule="exact"/>
        <w:ind w:firstLine="3706" w:firstLineChars="1700"/>
        <w:rPr>
          <w:rFonts w:ascii="宋体" w:hAnsi="宋体" w:eastAsia="宋体" w:cs="宋体"/>
        </w:rPr>
      </w:pPr>
      <w:r>
        <w:rPr>
          <w:rFonts w:ascii="宋体" w:hAnsi="宋体" w:eastAsia="宋体" w:cs="宋体"/>
          <w:spacing w:val="4"/>
        </w:rPr>
        <w:t>或授权的代理人</w:t>
      </w:r>
      <w:r>
        <w:rPr>
          <w:rFonts w:ascii="宋体" w:hAnsi="宋体" w:eastAsia="宋体" w:cs="宋体"/>
          <w:spacing w:val="4"/>
          <w:u w:val="single"/>
        </w:rPr>
        <w:t>：</w:t>
      </w:r>
      <w:r>
        <w:rPr>
          <w:rFonts w:hint="eastAsia" w:ascii="宋体" w:hAnsi="宋体" w:eastAsia="宋体" w:cs="宋体"/>
          <w:spacing w:val="4"/>
          <w:u w:val="single"/>
        </w:rPr>
        <w:t xml:space="preserve">            </w:t>
      </w:r>
      <w:r>
        <w:rPr>
          <w:rFonts w:ascii="宋体" w:hAnsi="宋体" w:eastAsia="宋体" w:cs="宋体"/>
          <w:spacing w:val="4"/>
          <w:u w:val="single"/>
        </w:rPr>
        <w:t>(</w:t>
      </w:r>
      <w:r>
        <w:rPr>
          <w:rFonts w:hint="eastAsia" w:ascii="宋体" w:hAnsi="宋体" w:eastAsia="宋体" w:cs="宋体"/>
          <w:spacing w:val="4"/>
          <w:u w:val="single"/>
        </w:rPr>
        <w:t>签名</w:t>
      </w:r>
      <w:r>
        <w:rPr>
          <w:rFonts w:ascii="宋体" w:hAnsi="宋体" w:eastAsia="宋体" w:cs="宋体"/>
          <w:spacing w:val="4"/>
          <w:u w:val="single"/>
        </w:rPr>
        <w:t>)</w:t>
      </w:r>
      <w:r>
        <w:rPr>
          <w:rFonts w:hint="eastAsia" w:ascii="宋体" w:hAnsi="宋体" w:eastAsia="宋体" w:cs="宋体"/>
          <w:spacing w:val="4"/>
          <w:u w:val="single"/>
        </w:rPr>
        <w:t xml:space="preserve">          </w:t>
      </w:r>
    </w:p>
    <w:p w14:paraId="58AC68E8">
      <w:pPr>
        <w:spacing w:line="480" w:lineRule="exact"/>
        <w:ind w:firstLine="3680" w:firstLineChars="2000"/>
        <w:rPr>
          <w:rFonts w:ascii="宋体" w:hAnsi="宋体" w:eastAsia="宋体" w:cs="宋体"/>
        </w:rPr>
      </w:pPr>
      <w:r>
        <w:rPr>
          <w:rFonts w:ascii="宋体" w:hAnsi="宋体" w:eastAsia="宋体" w:cs="宋体"/>
          <w:spacing w:val="-13"/>
        </w:rPr>
        <w:t xml:space="preserve">日 </w:t>
      </w:r>
      <w:r>
        <w:rPr>
          <w:rFonts w:hint="eastAsia" w:ascii="宋体" w:hAnsi="宋体" w:eastAsia="宋体" w:cs="宋体"/>
          <w:spacing w:val="-13"/>
        </w:rPr>
        <w:t xml:space="preserve">    </w:t>
      </w:r>
      <w:r>
        <w:rPr>
          <w:rFonts w:ascii="宋体" w:hAnsi="宋体" w:eastAsia="宋体" w:cs="宋体"/>
          <w:spacing w:val="-13"/>
        </w:rPr>
        <w:t>期</w:t>
      </w:r>
      <w:r>
        <w:rPr>
          <w:rFonts w:ascii="宋体" w:hAnsi="宋体" w:eastAsia="宋体" w:cs="宋体"/>
          <w:spacing w:val="13"/>
        </w:rPr>
        <w:t xml:space="preserve"> </w:t>
      </w:r>
      <w:r>
        <w:rPr>
          <w:rFonts w:ascii="宋体" w:hAnsi="宋体" w:eastAsia="宋体" w:cs="宋体"/>
          <w:spacing w:val="-13"/>
        </w:rPr>
        <w:t>：</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ascii="宋体" w:hAnsi="宋体" w:eastAsia="宋体" w:cs="宋体"/>
          <w:spacing w:val="-13"/>
        </w:rPr>
        <w:t>年</w:t>
      </w:r>
      <w:r>
        <w:rPr>
          <w:rFonts w:ascii="宋体" w:hAnsi="宋体" w:eastAsia="宋体" w:cs="宋体"/>
          <w:spacing w:val="41"/>
          <w:u w:val="single"/>
        </w:rPr>
        <w:t xml:space="preserve"> </w:t>
      </w:r>
      <w:r>
        <w:rPr>
          <w:rFonts w:hint="eastAsia" w:ascii="宋体" w:hAnsi="宋体" w:eastAsia="宋体" w:cs="宋体"/>
          <w:spacing w:val="41"/>
          <w:u w:val="single"/>
        </w:rPr>
        <w:t xml:space="preserve">  </w:t>
      </w:r>
      <w:r>
        <w:rPr>
          <w:rFonts w:ascii="宋体" w:hAnsi="宋体" w:eastAsia="宋体" w:cs="宋体"/>
          <w:spacing w:val="41"/>
          <w:u w:val="single"/>
        </w:rPr>
        <w:t xml:space="preserve"> </w:t>
      </w:r>
      <w:r>
        <w:rPr>
          <w:rFonts w:ascii="宋体" w:hAnsi="宋体" w:eastAsia="宋体" w:cs="宋体"/>
          <w:spacing w:val="-13"/>
        </w:rPr>
        <w:t>月</w:t>
      </w:r>
      <w:r>
        <w:rPr>
          <w:rFonts w:ascii="宋体" w:hAnsi="宋体" w:eastAsia="宋体" w:cs="宋体"/>
          <w:spacing w:val="12"/>
          <w:u w:val="single"/>
        </w:rPr>
        <w:t xml:space="preserve"> </w:t>
      </w:r>
      <w:r>
        <w:rPr>
          <w:rFonts w:hint="eastAsia" w:ascii="宋体" w:hAnsi="宋体" w:eastAsia="宋体" w:cs="宋体"/>
          <w:spacing w:val="12"/>
          <w:u w:val="single"/>
        </w:rPr>
        <w:t xml:space="preserve">   </w:t>
      </w:r>
      <w:r>
        <w:rPr>
          <w:rFonts w:ascii="宋体" w:hAnsi="宋体" w:eastAsia="宋体" w:cs="宋体"/>
          <w:spacing w:val="12"/>
          <w:u w:val="single"/>
        </w:rPr>
        <w:t xml:space="preserve"> </w:t>
      </w:r>
      <w:r>
        <w:rPr>
          <w:rFonts w:ascii="宋体" w:hAnsi="宋体" w:eastAsia="宋体" w:cs="宋体"/>
          <w:spacing w:val="-13"/>
        </w:rPr>
        <w:t>日</w:t>
      </w:r>
    </w:p>
    <w:p w14:paraId="675983A7">
      <w:pPr>
        <w:spacing w:line="219" w:lineRule="auto"/>
        <w:rPr>
          <w:rFonts w:ascii="宋体" w:hAnsi="宋体" w:eastAsia="宋体" w:cs="宋体"/>
          <w:sz w:val="22"/>
          <w:szCs w:val="22"/>
        </w:rPr>
      </w:pPr>
    </w:p>
    <w:p w14:paraId="082103CB">
      <w:pPr>
        <w:spacing w:line="219" w:lineRule="auto"/>
        <w:rPr>
          <w:rFonts w:ascii="宋体" w:hAnsi="宋体" w:eastAsia="宋体" w:cs="宋体"/>
          <w:sz w:val="22"/>
          <w:szCs w:val="22"/>
        </w:rPr>
      </w:pPr>
    </w:p>
    <w:p w14:paraId="57374F0C">
      <w:pPr>
        <w:spacing w:line="219" w:lineRule="auto"/>
        <w:rPr>
          <w:rFonts w:ascii="宋体" w:hAnsi="宋体" w:eastAsia="宋体" w:cs="宋体"/>
          <w:sz w:val="22"/>
          <w:szCs w:val="22"/>
        </w:rPr>
      </w:pPr>
    </w:p>
    <w:p w14:paraId="72173261">
      <w:pPr>
        <w:spacing w:line="219" w:lineRule="auto"/>
        <w:rPr>
          <w:rFonts w:ascii="宋体" w:hAnsi="宋体" w:eastAsia="宋体" w:cs="宋体"/>
          <w:sz w:val="22"/>
          <w:szCs w:val="22"/>
        </w:rPr>
      </w:pPr>
    </w:p>
    <w:p w14:paraId="40FFB5B4">
      <w:pPr>
        <w:spacing w:line="219" w:lineRule="auto"/>
        <w:rPr>
          <w:rFonts w:ascii="宋体" w:hAnsi="宋体" w:eastAsia="宋体" w:cs="宋体"/>
          <w:sz w:val="22"/>
          <w:szCs w:val="22"/>
        </w:rPr>
      </w:pPr>
    </w:p>
    <w:p w14:paraId="466DC265">
      <w:pPr>
        <w:spacing w:line="219" w:lineRule="auto"/>
        <w:rPr>
          <w:rFonts w:ascii="宋体" w:hAnsi="宋体" w:eastAsia="宋体" w:cs="宋体"/>
          <w:sz w:val="22"/>
          <w:szCs w:val="22"/>
        </w:rPr>
      </w:pPr>
    </w:p>
    <w:p w14:paraId="6A7540FC">
      <w:pPr>
        <w:spacing w:line="219" w:lineRule="auto"/>
        <w:rPr>
          <w:rFonts w:ascii="宋体" w:hAnsi="宋体" w:eastAsia="宋体" w:cs="宋体"/>
          <w:sz w:val="22"/>
          <w:szCs w:val="22"/>
        </w:rPr>
      </w:pPr>
    </w:p>
    <w:p w14:paraId="2296EB0D">
      <w:pPr>
        <w:spacing w:line="219" w:lineRule="auto"/>
        <w:rPr>
          <w:rFonts w:ascii="宋体" w:hAnsi="宋体" w:eastAsia="宋体" w:cs="宋体"/>
          <w:sz w:val="22"/>
          <w:szCs w:val="22"/>
        </w:rPr>
      </w:pPr>
    </w:p>
    <w:p w14:paraId="5CD7ED5C">
      <w:pPr>
        <w:spacing w:line="219" w:lineRule="auto"/>
        <w:rPr>
          <w:rFonts w:ascii="宋体" w:hAnsi="宋体" w:eastAsia="宋体" w:cs="宋体"/>
          <w:sz w:val="22"/>
          <w:szCs w:val="22"/>
        </w:rPr>
      </w:pPr>
    </w:p>
    <w:p w14:paraId="61DCB0B9">
      <w:pPr>
        <w:spacing w:line="219" w:lineRule="auto"/>
        <w:rPr>
          <w:rFonts w:ascii="宋体" w:hAnsi="宋体" w:eastAsia="宋体" w:cs="宋体"/>
          <w:sz w:val="22"/>
          <w:szCs w:val="22"/>
        </w:rPr>
      </w:pPr>
    </w:p>
    <w:p w14:paraId="0618261B">
      <w:pPr>
        <w:pStyle w:val="3"/>
        <w:jc w:val="both"/>
        <w:rPr>
          <w:rFonts w:ascii="黑体" w:hAnsi="黑体" w:eastAsia="黑体" w:cs="黑体"/>
          <w:b w:val="0"/>
          <w:bCs w:val="0"/>
          <w:spacing w:val="1"/>
        </w:rPr>
      </w:pPr>
      <w:bookmarkStart w:id="106" w:name="_Toc30852"/>
      <w:bookmarkStart w:id="107" w:name="_Toc17992_WPSOffice_Level1"/>
      <w:bookmarkStart w:id="108" w:name="_Toc4925"/>
      <w:bookmarkStart w:id="109" w:name="_Toc20403"/>
      <w:bookmarkStart w:id="110" w:name="_Toc21155_WPSOffice_Level1"/>
      <w:bookmarkStart w:id="111" w:name="_Toc32509_WPSOffice_Level1"/>
      <w:bookmarkStart w:id="112" w:name="_Toc23541_WPSOffice_Level1"/>
      <w:bookmarkStart w:id="113" w:name="_Toc3588_WPSOffice_Level1"/>
    </w:p>
    <w:p w14:paraId="0C64C14A">
      <w:pPr>
        <w:rPr>
          <w:rFonts w:ascii="黑体" w:hAnsi="黑体" w:eastAsia="黑体" w:cs="黑体"/>
          <w:spacing w:val="1"/>
          <w:sz w:val="44"/>
          <w:szCs w:val="44"/>
        </w:rPr>
      </w:pPr>
    </w:p>
    <w:p w14:paraId="755F0DF3">
      <w:pPr>
        <w:pStyle w:val="3"/>
        <w:jc w:val="both"/>
        <w:rPr>
          <w:rFonts w:ascii="黑体" w:hAnsi="黑体" w:eastAsia="黑体" w:cs="黑体"/>
          <w:b w:val="0"/>
          <w:bCs w:val="0"/>
          <w:spacing w:val="1"/>
        </w:rPr>
      </w:pPr>
    </w:p>
    <w:p w14:paraId="0DC017F6"/>
    <w:p w14:paraId="6342C5BE">
      <w:pPr>
        <w:pStyle w:val="3"/>
        <w:rPr>
          <w:rFonts w:ascii="黑体" w:hAnsi="黑体" w:eastAsia="黑体" w:cs="黑体"/>
          <w:b w:val="0"/>
          <w:bCs w:val="0"/>
        </w:rPr>
      </w:pPr>
      <w:r>
        <w:rPr>
          <w:rFonts w:hint="eastAsia" w:ascii="黑体" w:hAnsi="黑体" w:eastAsia="黑体" w:cs="黑体"/>
          <w:b w:val="0"/>
          <w:bCs w:val="0"/>
          <w:spacing w:val="1"/>
        </w:rPr>
        <w:t>四、服务方案</w:t>
      </w:r>
      <w:bookmarkEnd w:id="106"/>
      <w:bookmarkEnd w:id="107"/>
      <w:bookmarkEnd w:id="108"/>
      <w:bookmarkEnd w:id="109"/>
      <w:bookmarkEnd w:id="110"/>
      <w:bookmarkEnd w:id="111"/>
      <w:bookmarkEnd w:id="112"/>
      <w:bookmarkEnd w:id="113"/>
    </w:p>
    <w:p w14:paraId="7BA12EEE">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（一）服务目标和管理制度</w:t>
      </w:r>
    </w:p>
    <w:p w14:paraId="6A6F3E47">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（二）配送方案和管理制</w:t>
      </w:r>
    </w:p>
    <w:p w14:paraId="5AC9E024">
      <w:pPr>
        <w:spacing w:line="720" w:lineRule="exact"/>
        <w:ind w:firstLine="652" w:firstLineChars="200"/>
        <w:rPr>
          <w:rFonts w:ascii="黑体" w:hAnsi="黑体" w:eastAsia="黑体" w:cs="黑体"/>
          <w:sz w:val="32"/>
          <w:szCs w:val="32"/>
        </w:rPr>
      </w:pPr>
      <w:r>
        <w:rPr>
          <w:rFonts w:hint="eastAsia" w:ascii="黑体" w:hAnsi="黑体" w:eastAsia="黑体" w:cs="黑体"/>
          <w:spacing w:val="3"/>
          <w:sz w:val="32"/>
          <w:szCs w:val="32"/>
        </w:rPr>
        <w:t>（三）售后服务方案</w:t>
      </w:r>
    </w:p>
    <w:p w14:paraId="18E064BB">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（四）应急预案</w:t>
      </w:r>
    </w:p>
    <w:p w14:paraId="35721137"/>
    <w:p w14:paraId="43259CD7">
      <w:pPr>
        <w:pStyle w:val="2"/>
      </w:pPr>
    </w:p>
    <w:p w14:paraId="28EA50D3">
      <w:pPr>
        <w:spacing w:before="28" w:line="339" w:lineRule="auto"/>
        <w:ind w:left="56" w:right="6785"/>
        <w:rPr>
          <w:rFonts w:ascii="宋体" w:hAnsi="宋体" w:eastAsia="宋体" w:cs="宋体"/>
          <w:b/>
          <w:bCs/>
          <w:spacing w:val="3"/>
          <w:sz w:val="32"/>
          <w:szCs w:val="32"/>
        </w:rPr>
      </w:pPr>
    </w:p>
    <w:p w14:paraId="4CA5D3B4">
      <w:pPr>
        <w:spacing w:before="28" w:line="339" w:lineRule="auto"/>
        <w:ind w:left="56" w:right="6785"/>
        <w:rPr>
          <w:rFonts w:ascii="宋体" w:hAnsi="宋体" w:eastAsia="宋体" w:cs="宋体"/>
          <w:b/>
          <w:bCs/>
          <w:spacing w:val="3"/>
          <w:sz w:val="32"/>
          <w:szCs w:val="32"/>
        </w:rPr>
      </w:pPr>
    </w:p>
    <w:p w14:paraId="1B59E300">
      <w:pPr>
        <w:pStyle w:val="3"/>
        <w:rPr>
          <w:rFonts w:ascii="黑体" w:hAnsi="黑体" w:eastAsia="黑体" w:cs="黑体"/>
          <w:b w:val="0"/>
          <w:bCs w:val="0"/>
          <w:spacing w:val="1"/>
        </w:rPr>
      </w:pPr>
    </w:p>
    <w:p w14:paraId="04F2BA45">
      <w:pPr>
        <w:rPr>
          <w:rFonts w:ascii="黑体" w:hAnsi="黑体" w:eastAsia="黑体" w:cs="黑体"/>
          <w:spacing w:val="1"/>
          <w:sz w:val="44"/>
          <w:szCs w:val="44"/>
        </w:rPr>
      </w:pPr>
    </w:p>
    <w:p w14:paraId="76C1675D">
      <w:pPr>
        <w:pStyle w:val="8"/>
        <w:rPr>
          <w:rFonts w:ascii="黑体" w:hAnsi="黑体" w:eastAsia="黑体" w:cs="黑体"/>
          <w:spacing w:val="1"/>
          <w:sz w:val="44"/>
          <w:szCs w:val="44"/>
        </w:rPr>
      </w:pPr>
    </w:p>
    <w:p w14:paraId="358A3A52">
      <w:pPr>
        <w:rPr>
          <w:rFonts w:ascii="黑体" w:hAnsi="黑体" w:eastAsia="黑体" w:cs="黑体"/>
          <w:spacing w:val="1"/>
          <w:sz w:val="44"/>
          <w:szCs w:val="44"/>
        </w:rPr>
      </w:pPr>
    </w:p>
    <w:p w14:paraId="7FF64DC0">
      <w:pPr>
        <w:pStyle w:val="3"/>
        <w:jc w:val="both"/>
        <w:rPr>
          <w:rFonts w:ascii="黑体" w:hAnsi="黑体" w:eastAsia="黑体" w:cs="黑体"/>
          <w:b w:val="0"/>
          <w:bCs w:val="0"/>
          <w:spacing w:val="1"/>
        </w:rPr>
      </w:pPr>
      <w:bookmarkStart w:id="114" w:name="_Toc2747_WPSOffice_Level1"/>
      <w:bookmarkStart w:id="115" w:name="_Toc24318_WPSOffice_Level1"/>
      <w:bookmarkStart w:id="116" w:name="_Toc13656_WPSOffice_Level1"/>
      <w:bookmarkStart w:id="117" w:name="_Toc14489_WPSOffice_Level1"/>
      <w:bookmarkStart w:id="118" w:name="_Toc30519_WPSOffice_Level1"/>
      <w:bookmarkStart w:id="119" w:name="_Toc21208"/>
      <w:bookmarkStart w:id="120" w:name="_Toc10487"/>
      <w:bookmarkStart w:id="121" w:name="_Toc21825"/>
    </w:p>
    <w:p w14:paraId="48BD3845"/>
    <w:p w14:paraId="072A925B">
      <w:pPr>
        <w:pStyle w:val="3"/>
        <w:rPr>
          <w:rFonts w:ascii="宋体" w:hAnsi="宋体" w:cs="宋体"/>
          <w:color w:val="auto"/>
        </w:rPr>
      </w:pPr>
      <w:r>
        <w:rPr>
          <w:rFonts w:hint="eastAsia" w:ascii="黑体" w:hAnsi="黑体" w:eastAsia="黑体" w:cs="黑体"/>
          <w:b w:val="0"/>
          <w:bCs w:val="0"/>
          <w:spacing w:val="1"/>
        </w:rPr>
        <w:t>五、其他资料(如有</w:t>
      </w:r>
      <w:bookmarkEnd w:id="114"/>
      <w:bookmarkEnd w:id="115"/>
      <w:bookmarkEnd w:id="116"/>
      <w:bookmarkEnd w:id="117"/>
      <w:bookmarkEnd w:id="118"/>
      <w:r>
        <w:rPr>
          <w:rFonts w:hint="eastAsia" w:ascii="黑体" w:hAnsi="黑体" w:eastAsia="黑体" w:cs="黑体"/>
          <w:b w:val="0"/>
          <w:bCs w:val="0"/>
          <w:spacing w:val="1"/>
        </w:rPr>
        <w:t>）</w:t>
      </w:r>
      <w:bookmarkEnd w:id="119"/>
      <w:bookmarkEnd w:id="120"/>
      <w:bookmarkEnd w:id="121"/>
    </w:p>
    <w:sectPr>
      <w:headerReference r:id="rId7" w:type="default"/>
      <w:footerReference r:id="rId8" w:type="default"/>
      <w:pgSz w:w="11906" w:h="16838"/>
      <w:pgMar w:top="1440" w:right="1800" w:bottom="1440" w:left="1800" w:header="850"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C694E3-851A-4564-817B-B613DB1D6390}"/>
  </w:font>
  <w:font w:name="黑体">
    <w:panose1 w:val="02010609060101010101"/>
    <w:charset w:val="86"/>
    <w:family w:val="auto"/>
    <w:pitch w:val="default"/>
    <w:sig w:usb0="800002BF" w:usb1="38CF7CFA" w:usb2="00000016" w:usb3="00000000" w:csb0="00040001" w:csb1="00000000"/>
    <w:embedRegular r:id="rId2" w:fontKey="{A2F55C37-CE04-4B81-AC7C-04F1DC6681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7D69735-3BBD-4F87-8F0B-216068D4FE82}"/>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FA4591C2-48E4-4CC5-9999-3B496E230DCF}"/>
  </w:font>
  <w:font w:name="Segoe UI">
    <w:panose1 w:val="020B0502040204020203"/>
    <w:charset w:val="00"/>
    <w:family w:val="swiss"/>
    <w:pitch w:val="default"/>
    <w:sig w:usb0="E4002EFF" w:usb1="C000E47F" w:usb2="00000009" w:usb3="00000000" w:csb0="200001FF" w:csb1="00000000"/>
    <w:embedRegular r:id="rId5" w:fontKey="{2F85074B-443F-4B32-BCF3-DDD10B94B8A8}"/>
  </w:font>
  <w:font w:name="微软雅黑">
    <w:panose1 w:val="020B0503020204020204"/>
    <w:charset w:val="86"/>
    <w:family w:val="swiss"/>
    <w:pitch w:val="default"/>
    <w:sig w:usb0="80000287" w:usb1="2ACF3C50" w:usb2="00000016" w:usb3="00000000" w:csb0="0004001F" w:csb1="00000000"/>
    <w:embedRegular r:id="rId6" w:fontKey="{FD22F528-446A-4F91-80A8-A2491EDE472E}"/>
  </w:font>
  <w:font w:name="仿宋">
    <w:panose1 w:val="02010609060101010101"/>
    <w:charset w:val="86"/>
    <w:family w:val="modern"/>
    <w:pitch w:val="default"/>
    <w:sig w:usb0="800002BF" w:usb1="38CF7CFA" w:usb2="00000016" w:usb3="00000000" w:csb0="00040001" w:csb1="00000000"/>
    <w:embedRegular r:id="rId7" w:fontKey="{61255128-A7FC-486F-ABDC-B58992C224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EFCA">
    <w:pPr>
      <w:spacing w:line="177" w:lineRule="auto"/>
      <w:ind w:left="4269"/>
      <w:rPr>
        <w:rFonts w:ascii="Times New Roman" w:hAnsi="Times New Roman" w:eastAsia="Times New Roman" w:cs="Times New Roman"/>
        <w:sz w:val="19"/>
        <w:szCs w:val="19"/>
      </w:rPr>
    </w:pPr>
    <w:bookmarkStart w:id="123" w:name="bookmark10"/>
    <w:bookmarkEnd w:id="1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0BCE">
    <w:pPr>
      <w:tabs>
        <w:tab w:val="left" w:pos="4487"/>
      </w:tabs>
      <w:spacing w:line="177" w:lineRule="auto"/>
      <w:ind w:left="4269"/>
      <w:rPr>
        <w:rFonts w:ascii="Times New Roman" w:hAnsi="Times New Roman" w:eastAsia="Times New Roman" w:cs="Times New Roman"/>
        <w:sz w:val="19"/>
        <w:szCs w:val="19"/>
      </w:rPr>
    </w:pPr>
    <w:r>
      <w:rPr>
        <w:rFonts w:hint="eastAsia" w:ascii="Times New Roman" w:hAnsi="Times New Roman" w:eastAsia="宋体" w:cs="Times New Roman"/>
        <w:sz w:val="19"/>
        <w:szCs w:val="1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765D">
    <w:pPr>
      <w:tabs>
        <w:tab w:val="left" w:pos="4487"/>
      </w:tabs>
      <w:spacing w:line="177" w:lineRule="auto"/>
      <w:ind w:left="426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8995">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B68995">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v:textbox>
            </v:shape>
          </w:pict>
        </mc:Fallback>
      </mc:AlternateContent>
    </w:r>
    <w:r>
      <w:rPr>
        <w:rFonts w:hint="eastAsia" w:ascii="Times New Roman" w:hAnsi="Times New Roman" w:eastAsia="宋体" w:cs="Times New Roman"/>
        <w:sz w:val="19"/>
        <w:szCs w:val="19"/>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D0D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4E67F">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5E4E67F">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50</w:t>
                    </w:r>
                    <w:r>
                      <w:rPr>
                        <w:rFonts w:hint="eastAsia" w:eastAsia="宋体"/>
                      </w:rPr>
                      <w:fldChar w:fldCharType="end"/>
                    </w:r>
                  </w:p>
                </w:txbxContent>
              </v:textbox>
            </v:shape>
          </w:pict>
        </mc:Fallback>
      </mc:AlternateContent>
    </w:r>
  </w:p>
  <w:p w14:paraId="73F12F69">
    <w:pPr>
      <w:pStyle w:val="2"/>
      <w:overflowPunct w:val="0"/>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20A9">
    <w:pPr>
      <w:pStyle w:val="17"/>
      <w:wordWrap w:val="0"/>
      <w:jc w:val="right"/>
    </w:pPr>
    <w:bookmarkStart w:id="122" w:name="bookmark8"/>
    <w:bookmarkEnd w:id="122"/>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C2C">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F4F27"/>
    <w:multiLevelType w:val="singleLevel"/>
    <w:tmpl w:val="972F4F27"/>
    <w:lvl w:ilvl="0" w:tentative="0">
      <w:start w:val="9"/>
      <w:numFmt w:val="decimal"/>
      <w:lvlText w:val="%1."/>
      <w:lvlJc w:val="left"/>
      <w:pPr>
        <w:tabs>
          <w:tab w:val="left" w:pos="312"/>
        </w:tabs>
      </w:pPr>
    </w:lvl>
  </w:abstractNum>
  <w:abstractNum w:abstractNumId="1">
    <w:nsid w:val="D364D49C"/>
    <w:multiLevelType w:val="singleLevel"/>
    <w:tmpl w:val="D364D49C"/>
    <w:lvl w:ilvl="0" w:tentative="0">
      <w:start w:val="1"/>
      <w:numFmt w:val="decimal"/>
      <w:suff w:val="nothing"/>
      <w:lvlText w:val="（%1）"/>
      <w:lvlJc w:val="left"/>
    </w:lvl>
  </w:abstractNum>
  <w:abstractNum w:abstractNumId="2">
    <w:nsid w:val="1A4B536D"/>
    <w:multiLevelType w:val="singleLevel"/>
    <w:tmpl w:val="1A4B536D"/>
    <w:lvl w:ilvl="0" w:tentative="0">
      <w:start w:val="1"/>
      <w:numFmt w:val="decimal"/>
      <w:suff w:val="nothing"/>
      <w:lvlText w:val="（%1）"/>
      <w:lvlJc w:val="left"/>
    </w:lvl>
  </w:abstractNum>
  <w:abstractNum w:abstractNumId="3">
    <w:nsid w:val="2CCBE8A3"/>
    <w:multiLevelType w:val="singleLevel"/>
    <w:tmpl w:val="2CCBE8A3"/>
    <w:lvl w:ilvl="0" w:tentative="0">
      <w:start w:val="3"/>
      <w:numFmt w:val="chineseCounting"/>
      <w:suff w:val="nothing"/>
      <w:lvlText w:val="%1、"/>
      <w:lvlJc w:val="left"/>
      <w:rPr>
        <w:rFonts w:hint="eastAsia"/>
      </w:rPr>
    </w:lvl>
  </w:abstractNum>
  <w:abstractNum w:abstractNumId="4">
    <w:nsid w:val="6DD833FA"/>
    <w:multiLevelType w:val="singleLevel"/>
    <w:tmpl w:val="6DD833FA"/>
    <w:lvl w:ilvl="0" w:tentative="0">
      <w:start w:val="1"/>
      <w:numFmt w:val="japaneseCounting"/>
      <w:suff w:val="nothing"/>
      <w:lvlText w:val="%1、"/>
      <w:lvlJc w:val="left"/>
      <w:rPr>
        <w:rFonts w:ascii="宋体" w:hAnsi="宋体" w:eastAsia="宋体" w:cs="宋体"/>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YWM5YTFjOGRlYTAyNWM5MjE5M2VjNGIxMTNkOTEifQ=="/>
  </w:docVars>
  <w:rsids>
    <w:rsidRoot w:val="2EE56C48"/>
    <w:rsid w:val="00003B91"/>
    <w:rsid w:val="0001393D"/>
    <w:rsid w:val="000164C1"/>
    <w:rsid w:val="00017D7F"/>
    <w:rsid w:val="000516D0"/>
    <w:rsid w:val="00063188"/>
    <w:rsid w:val="00066E2A"/>
    <w:rsid w:val="00076211"/>
    <w:rsid w:val="0008394A"/>
    <w:rsid w:val="00085A5B"/>
    <w:rsid w:val="000A1117"/>
    <w:rsid w:val="000A2BD9"/>
    <w:rsid w:val="000C2DC6"/>
    <w:rsid w:val="000D2565"/>
    <w:rsid w:val="000E5A22"/>
    <w:rsid w:val="000F4291"/>
    <w:rsid w:val="000F7261"/>
    <w:rsid w:val="00110F03"/>
    <w:rsid w:val="00112F86"/>
    <w:rsid w:val="00134FC4"/>
    <w:rsid w:val="0013782E"/>
    <w:rsid w:val="001576C2"/>
    <w:rsid w:val="00157BEE"/>
    <w:rsid w:val="00163C65"/>
    <w:rsid w:val="001719D2"/>
    <w:rsid w:val="001731DD"/>
    <w:rsid w:val="00176600"/>
    <w:rsid w:val="00177B16"/>
    <w:rsid w:val="00186E02"/>
    <w:rsid w:val="001A6CE3"/>
    <w:rsid w:val="001B223C"/>
    <w:rsid w:val="001B2A01"/>
    <w:rsid w:val="001B7E5C"/>
    <w:rsid w:val="001C0045"/>
    <w:rsid w:val="001C5DAC"/>
    <w:rsid w:val="001D33FB"/>
    <w:rsid w:val="001E31D9"/>
    <w:rsid w:val="001E74DD"/>
    <w:rsid w:val="0022027A"/>
    <w:rsid w:val="0023393C"/>
    <w:rsid w:val="00252869"/>
    <w:rsid w:val="0026125D"/>
    <w:rsid w:val="00284126"/>
    <w:rsid w:val="002B1282"/>
    <w:rsid w:val="002E2484"/>
    <w:rsid w:val="002F47F2"/>
    <w:rsid w:val="00317605"/>
    <w:rsid w:val="00325A51"/>
    <w:rsid w:val="003513FD"/>
    <w:rsid w:val="00367C98"/>
    <w:rsid w:val="00372CFE"/>
    <w:rsid w:val="0038623C"/>
    <w:rsid w:val="00390F6A"/>
    <w:rsid w:val="003A2360"/>
    <w:rsid w:val="003C0E47"/>
    <w:rsid w:val="003D1463"/>
    <w:rsid w:val="003E2DF9"/>
    <w:rsid w:val="003F2538"/>
    <w:rsid w:val="003F31AE"/>
    <w:rsid w:val="00416CC6"/>
    <w:rsid w:val="00425257"/>
    <w:rsid w:val="00435D70"/>
    <w:rsid w:val="004460FB"/>
    <w:rsid w:val="00447D57"/>
    <w:rsid w:val="004506EC"/>
    <w:rsid w:val="00455B14"/>
    <w:rsid w:val="004564A0"/>
    <w:rsid w:val="00461CA4"/>
    <w:rsid w:val="004A02DA"/>
    <w:rsid w:val="004A3077"/>
    <w:rsid w:val="004C6BEA"/>
    <w:rsid w:val="004D7309"/>
    <w:rsid w:val="004F2ED4"/>
    <w:rsid w:val="00504D3E"/>
    <w:rsid w:val="00514C59"/>
    <w:rsid w:val="00516175"/>
    <w:rsid w:val="0053203D"/>
    <w:rsid w:val="00565E96"/>
    <w:rsid w:val="00575677"/>
    <w:rsid w:val="0059607D"/>
    <w:rsid w:val="005B36FB"/>
    <w:rsid w:val="005D16B2"/>
    <w:rsid w:val="005F3EFE"/>
    <w:rsid w:val="00601869"/>
    <w:rsid w:val="006029AA"/>
    <w:rsid w:val="00605011"/>
    <w:rsid w:val="00617522"/>
    <w:rsid w:val="0063730E"/>
    <w:rsid w:val="006808D2"/>
    <w:rsid w:val="00680B64"/>
    <w:rsid w:val="006861A8"/>
    <w:rsid w:val="00694485"/>
    <w:rsid w:val="00695DEA"/>
    <w:rsid w:val="006C071F"/>
    <w:rsid w:val="006C2DA2"/>
    <w:rsid w:val="006D33CA"/>
    <w:rsid w:val="006D63B4"/>
    <w:rsid w:val="006E259F"/>
    <w:rsid w:val="006F342D"/>
    <w:rsid w:val="006F53BF"/>
    <w:rsid w:val="0072131A"/>
    <w:rsid w:val="00721F53"/>
    <w:rsid w:val="00727548"/>
    <w:rsid w:val="0073346B"/>
    <w:rsid w:val="00761B3F"/>
    <w:rsid w:val="00762E1D"/>
    <w:rsid w:val="00785189"/>
    <w:rsid w:val="007910B6"/>
    <w:rsid w:val="007A7021"/>
    <w:rsid w:val="007C2B34"/>
    <w:rsid w:val="007F5A2D"/>
    <w:rsid w:val="00801F2C"/>
    <w:rsid w:val="008213ED"/>
    <w:rsid w:val="00824F90"/>
    <w:rsid w:val="0083252F"/>
    <w:rsid w:val="00845E92"/>
    <w:rsid w:val="00851080"/>
    <w:rsid w:val="00852745"/>
    <w:rsid w:val="00872BB2"/>
    <w:rsid w:val="00882B9F"/>
    <w:rsid w:val="0088659B"/>
    <w:rsid w:val="008A4CA8"/>
    <w:rsid w:val="008B34AE"/>
    <w:rsid w:val="008E3702"/>
    <w:rsid w:val="008F3CD8"/>
    <w:rsid w:val="0094262F"/>
    <w:rsid w:val="0094309D"/>
    <w:rsid w:val="00950E89"/>
    <w:rsid w:val="00960446"/>
    <w:rsid w:val="00966CDA"/>
    <w:rsid w:val="009A5577"/>
    <w:rsid w:val="009A798B"/>
    <w:rsid w:val="009A7BBB"/>
    <w:rsid w:val="009D3099"/>
    <w:rsid w:val="009E7668"/>
    <w:rsid w:val="00A364B9"/>
    <w:rsid w:val="00AB0285"/>
    <w:rsid w:val="00AB0E1A"/>
    <w:rsid w:val="00AB4A96"/>
    <w:rsid w:val="00AE3754"/>
    <w:rsid w:val="00AF022E"/>
    <w:rsid w:val="00AF2877"/>
    <w:rsid w:val="00B03087"/>
    <w:rsid w:val="00B0329B"/>
    <w:rsid w:val="00B05EAD"/>
    <w:rsid w:val="00B22851"/>
    <w:rsid w:val="00B32474"/>
    <w:rsid w:val="00B54470"/>
    <w:rsid w:val="00B62CBA"/>
    <w:rsid w:val="00B6496F"/>
    <w:rsid w:val="00BA308A"/>
    <w:rsid w:val="00BB2D3C"/>
    <w:rsid w:val="00BD020B"/>
    <w:rsid w:val="00BD785D"/>
    <w:rsid w:val="00C0461B"/>
    <w:rsid w:val="00C075C4"/>
    <w:rsid w:val="00C10F9E"/>
    <w:rsid w:val="00C142DA"/>
    <w:rsid w:val="00C22324"/>
    <w:rsid w:val="00C224B6"/>
    <w:rsid w:val="00C3089B"/>
    <w:rsid w:val="00C60A42"/>
    <w:rsid w:val="00C65996"/>
    <w:rsid w:val="00CB3F38"/>
    <w:rsid w:val="00CE1AEE"/>
    <w:rsid w:val="00CF4AE2"/>
    <w:rsid w:val="00D12EC8"/>
    <w:rsid w:val="00D1469C"/>
    <w:rsid w:val="00D173BE"/>
    <w:rsid w:val="00D21D9C"/>
    <w:rsid w:val="00D24059"/>
    <w:rsid w:val="00D27E57"/>
    <w:rsid w:val="00D27F62"/>
    <w:rsid w:val="00D31A26"/>
    <w:rsid w:val="00DA34D1"/>
    <w:rsid w:val="00DB4D45"/>
    <w:rsid w:val="00DB78FF"/>
    <w:rsid w:val="00DC0DF2"/>
    <w:rsid w:val="00DC3B27"/>
    <w:rsid w:val="00E30AE6"/>
    <w:rsid w:val="00E33669"/>
    <w:rsid w:val="00E444A6"/>
    <w:rsid w:val="00E731A9"/>
    <w:rsid w:val="00E81031"/>
    <w:rsid w:val="00EA1E6A"/>
    <w:rsid w:val="00EC5DE3"/>
    <w:rsid w:val="00EC7EC3"/>
    <w:rsid w:val="00EE12E5"/>
    <w:rsid w:val="00EE6AF8"/>
    <w:rsid w:val="00EF66C6"/>
    <w:rsid w:val="00EF7D30"/>
    <w:rsid w:val="00F06A9C"/>
    <w:rsid w:val="00F347D6"/>
    <w:rsid w:val="00F41163"/>
    <w:rsid w:val="00F56DDA"/>
    <w:rsid w:val="00F769F3"/>
    <w:rsid w:val="00F77658"/>
    <w:rsid w:val="00F84C42"/>
    <w:rsid w:val="00FA4457"/>
    <w:rsid w:val="00FA4C06"/>
    <w:rsid w:val="00FB249A"/>
    <w:rsid w:val="01017684"/>
    <w:rsid w:val="01176EA7"/>
    <w:rsid w:val="012B64AF"/>
    <w:rsid w:val="01683444"/>
    <w:rsid w:val="01AC7B3F"/>
    <w:rsid w:val="01B42948"/>
    <w:rsid w:val="01CC5EE4"/>
    <w:rsid w:val="01CC7EBE"/>
    <w:rsid w:val="01E66FA5"/>
    <w:rsid w:val="01EC0334"/>
    <w:rsid w:val="02155CFE"/>
    <w:rsid w:val="02337D11"/>
    <w:rsid w:val="023D66C9"/>
    <w:rsid w:val="024C2511"/>
    <w:rsid w:val="026B4613"/>
    <w:rsid w:val="02702D13"/>
    <w:rsid w:val="029772D3"/>
    <w:rsid w:val="02CB68B8"/>
    <w:rsid w:val="03101E00"/>
    <w:rsid w:val="031A02F0"/>
    <w:rsid w:val="033E21D9"/>
    <w:rsid w:val="03637037"/>
    <w:rsid w:val="038D2F03"/>
    <w:rsid w:val="039447DF"/>
    <w:rsid w:val="03977E2B"/>
    <w:rsid w:val="03A22B74"/>
    <w:rsid w:val="03CD203F"/>
    <w:rsid w:val="03EE5C15"/>
    <w:rsid w:val="042E69E2"/>
    <w:rsid w:val="04504BAA"/>
    <w:rsid w:val="046B78CB"/>
    <w:rsid w:val="047A440C"/>
    <w:rsid w:val="047F723D"/>
    <w:rsid w:val="04907F4F"/>
    <w:rsid w:val="04B45A55"/>
    <w:rsid w:val="04C529C8"/>
    <w:rsid w:val="04D74D0F"/>
    <w:rsid w:val="04DB559D"/>
    <w:rsid w:val="04DE05A4"/>
    <w:rsid w:val="04E35A1E"/>
    <w:rsid w:val="04E92909"/>
    <w:rsid w:val="05215724"/>
    <w:rsid w:val="0542447B"/>
    <w:rsid w:val="056F2E0E"/>
    <w:rsid w:val="057473F5"/>
    <w:rsid w:val="057E596A"/>
    <w:rsid w:val="058B39C0"/>
    <w:rsid w:val="059D3E1F"/>
    <w:rsid w:val="05C35956"/>
    <w:rsid w:val="05E370DD"/>
    <w:rsid w:val="05EA2258"/>
    <w:rsid w:val="05EC0902"/>
    <w:rsid w:val="05FB28F4"/>
    <w:rsid w:val="060317A8"/>
    <w:rsid w:val="06085010"/>
    <w:rsid w:val="06147E59"/>
    <w:rsid w:val="06A116ED"/>
    <w:rsid w:val="06AE3E0A"/>
    <w:rsid w:val="06AE7966"/>
    <w:rsid w:val="06BC71F5"/>
    <w:rsid w:val="06BD5A21"/>
    <w:rsid w:val="06CC0EAF"/>
    <w:rsid w:val="06CC603E"/>
    <w:rsid w:val="06E27750"/>
    <w:rsid w:val="06F24128"/>
    <w:rsid w:val="06FC4B75"/>
    <w:rsid w:val="07043A2A"/>
    <w:rsid w:val="070A7BF1"/>
    <w:rsid w:val="074C5FBF"/>
    <w:rsid w:val="07754928"/>
    <w:rsid w:val="07AB0349"/>
    <w:rsid w:val="07BC725B"/>
    <w:rsid w:val="07C03DF5"/>
    <w:rsid w:val="07D46F17"/>
    <w:rsid w:val="07F910B5"/>
    <w:rsid w:val="081234AF"/>
    <w:rsid w:val="081A71B2"/>
    <w:rsid w:val="083F3A9B"/>
    <w:rsid w:val="08400AC2"/>
    <w:rsid w:val="0845035A"/>
    <w:rsid w:val="087D1CE6"/>
    <w:rsid w:val="08B57755"/>
    <w:rsid w:val="08DA0EE6"/>
    <w:rsid w:val="08E14F28"/>
    <w:rsid w:val="08F84DFA"/>
    <w:rsid w:val="091E16E6"/>
    <w:rsid w:val="09242161"/>
    <w:rsid w:val="094412C0"/>
    <w:rsid w:val="09461AEC"/>
    <w:rsid w:val="09652EA6"/>
    <w:rsid w:val="0966570E"/>
    <w:rsid w:val="097C3D4B"/>
    <w:rsid w:val="098D62BA"/>
    <w:rsid w:val="09BE21E4"/>
    <w:rsid w:val="09D04097"/>
    <w:rsid w:val="09D27E0F"/>
    <w:rsid w:val="09EF451D"/>
    <w:rsid w:val="0A085D81"/>
    <w:rsid w:val="0A187F18"/>
    <w:rsid w:val="0A197D05"/>
    <w:rsid w:val="0A1C635D"/>
    <w:rsid w:val="0A312D88"/>
    <w:rsid w:val="0A397931"/>
    <w:rsid w:val="0A3D6802"/>
    <w:rsid w:val="0A507AD6"/>
    <w:rsid w:val="0A725FBE"/>
    <w:rsid w:val="0A913124"/>
    <w:rsid w:val="0ADA51CD"/>
    <w:rsid w:val="0AE147AE"/>
    <w:rsid w:val="0AF02C43"/>
    <w:rsid w:val="0AFF69E2"/>
    <w:rsid w:val="0B1701D0"/>
    <w:rsid w:val="0B374507"/>
    <w:rsid w:val="0B514808"/>
    <w:rsid w:val="0B5E1129"/>
    <w:rsid w:val="0B684935"/>
    <w:rsid w:val="0B905282"/>
    <w:rsid w:val="0B974E6D"/>
    <w:rsid w:val="0BC01B0A"/>
    <w:rsid w:val="0BD838B4"/>
    <w:rsid w:val="0BE6493B"/>
    <w:rsid w:val="0C012C2E"/>
    <w:rsid w:val="0C0135E7"/>
    <w:rsid w:val="0C2506CA"/>
    <w:rsid w:val="0C460641"/>
    <w:rsid w:val="0C474AE5"/>
    <w:rsid w:val="0C6531BD"/>
    <w:rsid w:val="0C7B653C"/>
    <w:rsid w:val="0C961E77"/>
    <w:rsid w:val="0C9C64B3"/>
    <w:rsid w:val="0CCE2B10"/>
    <w:rsid w:val="0CD04FB9"/>
    <w:rsid w:val="0CE73BD2"/>
    <w:rsid w:val="0D0B4096"/>
    <w:rsid w:val="0D0F0B10"/>
    <w:rsid w:val="0D1B66BA"/>
    <w:rsid w:val="0D510C58"/>
    <w:rsid w:val="0D511370"/>
    <w:rsid w:val="0D5C0747"/>
    <w:rsid w:val="0D6D5FF2"/>
    <w:rsid w:val="0D782A7C"/>
    <w:rsid w:val="0D7C07BE"/>
    <w:rsid w:val="0D7F5764"/>
    <w:rsid w:val="0D892EDB"/>
    <w:rsid w:val="0D9A01AE"/>
    <w:rsid w:val="0DA73361"/>
    <w:rsid w:val="0DB331ED"/>
    <w:rsid w:val="0DC47CF4"/>
    <w:rsid w:val="0DC61B60"/>
    <w:rsid w:val="0DDA237A"/>
    <w:rsid w:val="0DEA4012"/>
    <w:rsid w:val="0DEF71E2"/>
    <w:rsid w:val="0DFC18FF"/>
    <w:rsid w:val="0E012A71"/>
    <w:rsid w:val="0E0662D9"/>
    <w:rsid w:val="0E230C39"/>
    <w:rsid w:val="0E232DC6"/>
    <w:rsid w:val="0E4166F0"/>
    <w:rsid w:val="0E4F5ED2"/>
    <w:rsid w:val="0E5028C0"/>
    <w:rsid w:val="0E625C06"/>
    <w:rsid w:val="0E645087"/>
    <w:rsid w:val="0E772D33"/>
    <w:rsid w:val="0E927B6D"/>
    <w:rsid w:val="0E990EFC"/>
    <w:rsid w:val="0E9B794D"/>
    <w:rsid w:val="0E9E29B6"/>
    <w:rsid w:val="0EC57F43"/>
    <w:rsid w:val="0EC6258E"/>
    <w:rsid w:val="0EC72992"/>
    <w:rsid w:val="0EE37030"/>
    <w:rsid w:val="0EE8082F"/>
    <w:rsid w:val="0EFC2CE2"/>
    <w:rsid w:val="0F072309"/>
    <w:rsid w:val="0F094127"/>
    <w:rsid w:val="0F565079"/>
    <w:rsid w:val="0F5B2655"/>
    <w:rsid w:val="0F670FFA"/>
    <w:rsid w:val="0F781A43"/>
    <w:rsid w:val="0F971788"/>
    <w:rsid w:val="0F9A6749"/>
    <w:rsid w:val="0FA45DAA"/>
    <w:rsid w:val="0FAB7138"/>
    <w:rsid w:val="0FDA5C70"/>
    <w:rsid w:val="0FF56606"/>
    <w:rsid w:val="10030348"/>
    <w:rsid w:val="10083C52"/>
    <w:rsid w:val="10134CDE"/>
    <w:rsid w:val="101E3F1A"/>
    <w:rsid w:val="10264A11"/>
    <w:rsid w:val="106F536D"/>
    <w:rsid w:val="10866755"/>
    <w:rsid w:val="10AD0C8E"/>
    <w:rsid w:val="10B226E9"/>
    <w:rsid w:val="10B34A08"/>
    <w:rsid w:val="10E8616A"/>
    <w:rsid w:val="10E94FCD"/>
    <w:rsid w:val="10F14527"/>
    <w:rsid w:val="10F22B45"/>
    <w:rsid w:val="10F468BD"/>
    <w:rsid w:val="110A7E8F"/>
    <w:rsid w:val="11531836"/>
    <w:rsid w:val="117A3266"/>
    <w:rsid w:val="1187749E"/>
    <w:rsid w:val="118B7221"/>
    <w:rsid w:val="11B02D08"/>
    <w:rsid w:val="11BC387F"/>
    <w:rsid w:val="11C12C43"/>
    <w:rsid w:val="11E22BBA"/>
    <w:rsid w:val="11E76422"/>
    <w:rsid w:val="120E12B5"/>
    <w:rsid w:val="120F0F47"/>
    <w:rsid w:val="122F6AA8"/>
    <w:rsid w:val="12364396"/>
    <w:rsid w:val="12691E0F"/>
    <w:rsid w:val="129B7938"/>
    <w:rsid w:val="12A762DD"/>
    <w:rsid w:val="12F07392"/>
    <w:rsid w:val="12F513D4"/>
    <w:rsid w:val="12F92BFB"/>
    <w:rsid w:val="13070E52"/>
    <w:rsid w:val="130D1EB8"/>
    <w:rsid w:val="13115AA3"/>
    <w:rsid w:val="13143247"/>
    <w:rsid w:val="133774A9"/>
    <w:rsid w:val="13655850"/>
    <w:rsid w:val="137141F5"/>
    <w:rsid w:val="13767A5D"/>
    <w:rsid w:val="138A1694"/>
    <w:rsid w:val="13ED0B72"/>
    <w:rsid w:val="14076B00"/>
    <w:rsid w:val="142004F2"/>
    <w:rsid w:val="14537D9F"/>
    <w:rsid w:val="146C7EEB"/>
    <w:rsid w:val="146D70B2"/>
    <w:rsid w:val="14997EA7"/>
    <w:rsid w:val="14A15067"/>
    <w:rsid w:val="14AA3E63"/>
    <w:rsid w:val="14B91BF2"/>
    <w:rsid w:val="14BE790E"/>
    <w:rsid w:val="14BF6B8B"/>
    <w:rsid w:val="14D07641"/>
    <w:rsid w:val="14DC4983"/>
    <w:rsid w:val="14F72667"/>
    <w:rsid w:val="155E69FB"/>
    <w:rsid w:val="15602773"/>
    <w:rsid w:val="1565422D"/>
    <w:rsid w:val="157306F8"/>
    <w:rsid w:val="1591609E"/>
    <w:rsid w:val="160D1254"/>
    <w:rsid w:val="162C61CB"/>
    <w:rsid w:val="1638724C"/>
    <w:rsid w:val="164E081E"/>
    <w:rsid w:val="16771D4D"/>
    <w:rsid w:val="167A3A97"/>
    <w:rsid w:val="16907088"/>
    <w:rsid w:val="169C77DB"/>
    <w:rsid w:val="169F551D"/>
    <w:rsid w:val="16B03286"/>
    <w:rsid w:val="16BA4105"/>
    <w:rsid w:val="16E951E1"/>
    <w:rsid w:val="17011F4B"/>
    <w:rsid w:val="170A6E3A"/>
    <w:rsid w:val="172B0B5F"/>
    <w:rsid w:val="17410DFE"/>
    <w:rsid w:val="17575DF8"/>
    <w:rsid w:val="1763654B"/>
    <w:rsid w:val="177E15D6"/>
    <w:rsid w:val="179128F3"/>
    <w:rsid w:val="17AE62E3"/>
    <w:rsid w:val="17D35CFE"/>
    <w:rsid w:val="17E86A50"/>
    <w:rsid w:val="18131DAB"/>
    <w:rsid w:val="182211E6"/>
    <w:rsid w:val="18274AF0"/>
    <w:rsid w:val="18495740"/>
    <w:rsid w:val="186C142F"/>
    <w:rsid w:val="18C80D5B"/>
    <w:rsid w:val="18CF1D32"/>
    <w:rsid w:val="18ED07C2"/>
    <w:rsid w:val="190429DA"/>
    <w:rsid w:val="190873AA"/>
    <w:rsid w:val="19197285"/>
    <w:rsid w:val="191B28E0"/>
    <w:rsid w:val="199E1ABC"/>
    <w:rsid w:val="19A54BF8"/>
    <w:rsid w:val="19AF3CC9"/>
    <w:rsid w:val="19F50550"/>
    <w:rsid w:val="1A737960"/>
    <w:rsid w:val="1A7F5449"/>
    <w:rsid w:val="1A937147"/>
    <w:rsid w:val="1A975A4B"/>
    <w:rsid w:val="1AB570BD"/>
    <w:rsid w:val="1ACC6A83"/>
    <w:rsid w:val="1AD05CA5"/>
    <w:rsid w:val="1AFD2812"/>
    <w:rsid w:val="1B302BE8"/>
    <w:rsid w:val="1B4A18B0"/>
    <w:rsid w:val="1B5C39DD"/>
    <w:rsid w:val="1B6D2643"/>
    <w:rsid w:val="1B772121"/>
    <w:rsid w:val="1B7C407F"/>
    <w:rsid w:val="1B905028"/>
    <w:rsid w:val="1B973C88"/>
    <w:rsid w:val="1BB630ED"/>
    <w:rsid w:val="1BCD7C8C"/>
    <w:rsid w:val="1BFA654F"/>
    <w:rsid w:val="1C2F415E"/>
    <w:rsid w:val="1C422BD3"/>
    <w:rsid w:val="1C4D015E"/>
    <w:rsid w:val="1C5147C1"/>
    <w:rsid w:val="1C5A43C0"/>
    <w:rsid w:val="1C6A495E"/>
    <w:rsid w:val="1C7F3E27"/>
    <w:rsid w:val="1C827473"/>
    <w:rsid w:val="1C913B5A"/>
    <w:rsid w:val="1CF0262F"/>
    <w:rsid w:val="1D0A7DF4"/>
    <w:rsid w:val="1D166460"/>
    <w:rsid w:val="1D295618"/>
    <w:rsid w:val="1D306ECF"/>
    <w:rsid w:val="1D3509DA"/>
    <w:rsid w:val="1D3C5874"/>
    <w:rsid w:val="1D982ACC"/>
    <w:rsid w:val="1D9A07EC"/>
    <w:rsid w:val="1D9B0682"/>
    <w:rsid w:val="1DD97409"/>
    <w:rsid w:val="1E0C1678"/>
    <w:rsid w:val="1E193E07"/>
    <w:rsid w:val="1E1C37C6"/>
    <w:rsid w:val="1E234C86"/>
    <w:rsid w:val="1E486D09"/>
    <w:rsid w:val="1E8A2AE5"/>
    <w:rsid w:val="1E901B06"/>
    <w:rsid w:val="1E915557"/>
    <w:rsid w:val="1EEE2B9E"/>
    <w:rsid w:val="1F111512"/>
    <w:rsid w:val="1F1326BA"/>
    <w:rsid w:val="1F152820"/>
    <w:rsid w:val="1F1A7E37"/>
    <w:rsid w:val="1F2D6C14"/>
    <w:rsid w:val="1F335A17"/>
    <w:rsid w:val="1F354FC8"/>
    <w:rsid w:val="1F3E3265"/>
    <w:rsid w:val="1F470500"/>
    <w:rsid w:val="1F4B7FF0"/>
    <w:rsid w:val="1F505606"/>
    <w:rsid w:val="1F67275B"/>
    <w:rsid w:val="1F6F15F5"/>
    <w:rsid w:val="1F7D0710"/>
    <w:rsid w:val="1F8D1B17"/>
    <w:rsid w:val="1F8D23B7"/>
    <w:rsid w:val="1F9A4AD4"/>
    <w:rsid w:val="1FA81D43"/>
    <w:rsid w:val="1FA94D17"/>
    <w:rsid w:val="1FAD4807"/>
    <w:rsid w:val="1FB247EA"/>
    <w:rsid w:val="1FC0416F"/>
    <w:rsid w:val="1FC234F7"/>
    <w:rsid w:val="1FCA6CC1"/>
    <w:rsid w:val="1FD77AD6"/>
    <w:rsid w:val="2004772A"/>
    <w:rsid w:val="2043516B"/>
    <w:rsid w:val="205A3498"/>
    <w:rsid w:val="205B293A"/>
    <w:rsid w:val="207F1BCE"/>
    <w:rsid w:val="20B120D5"/>
    <w:rsid w:val="20B65606"/>
    <w:rsid w:val="20BF6FF2"/>
    <w:rsid w:val="20CB1094"/>
    <w:rsid w:val="20E32BC4"/>
    <w:rsid w:val="20E51AC6"/>
    <w:rsid w:val="210163ED"/>
    <w:rsid w:val="210C37AF"/>
    <w:rsid w:val="21132D8F"/>
    <w:rsid w:val="211B1C44"/>
    <w:rsid w:val="211B39F2"/>
    <w:rsid w:val="2130749E"/>
    <w:rsid w:val="21570ECE"/>
    <w:rsid w:val="2187717E"/>
    <w:rsid w:val="218872DA"/>
    <w:rsid w:val="219972A7"/>
    <w:rsid w:val="21BE5A6F"/>
    <w:rsid w:val="21D70261"/>
    <w:rsid w:val="21E36C06"/>
    <w:rsid w:val="21F87E6A"/>
    <w:rsid w:val="22016690"/>
    <w:rsid w:val="22185813"/>
    <w:rsid w:val="221B28B1"/>
    <w:rsid w:val="221C2FB9"/>
    <w:rsid w:val="224B0307"/>
    <w:rsid w:val="22994583"/>
    <w:rsid w:val="22A75E85"/>
    <w:rsid w:val="22D816F1"/>
    <w:rsid w:val="22DF56C1"/>
    <w:rsid w:val="22E17756"/>
    <w:rsid w:val="22E30F16"/>
    <w:rsid w:val="22E70030"/>
    <w:rsid w:val="22F015DA"/>
    <w:rsid w:val="2302130E"/>
    <w:rsid w:val="23241284"/>
    <w:rsid w:val="234D0BBD"/>
    <w:rsid w:val="238B0B11"/>
    <w:rsid w:val="23C10881"/>
    <w:rsid w:val="23CD5478"/>
    <w:rsid w:val="23F776A3"/>
    <w:rsid w:val="23FD205A"/>
    <w:rsid w:val="241C1F5B"/>
    <w:rsid w:val="2421767C"/>
    <w:rsid w:val="24480FA2"/>
    <w:rsid w:val="24843573"/>
    <w:rsid w:val="2494577C"/>
    <w:rsid w:val="249C1711"/>
    <w:rsid w:val="24EF4D1E"/>
    <w:rsid w:val="24F353B2"/>
    <w:rsid w:val="25025A12"/>
    <w:rsid w:val="25207829"/>
    <w:rsid w:val="25252DF6"/>
    <w:rsid w:val="252F5CBE"/>
    <w:rsid w:val="25530ECA"/>
    <w:rsid w:val="25575694"/>
    <w:rsid w:val="25643BBA"/>
    <w:rsid w:val="25981AB5"/>
    <w:rsid w:val="25C426FB"/>
    <w:rsid w:val="25D32AED"/>
    <w:rsid w:val="25DD396C"/>
    <w:rsid w:val="25F03AD8"/>
    <w:rsid w:val="25F82554"/>
    <w:rsid w:val="261750D0"/>
    <w:rsid w:val="26280FB8"/>
    <w:rsid w:val="26393298"/>
    <w:rsid w:val="26404627"/>
    <w:rsid w:val="26430C17"/>
    <w:rsid w:val="265F149E"/>
    <w:rsid w:val="26621EDC"/>
    <w:rsid w:val="2685028B"/>
    <w:rsid w:val="26897E2D"/>
    <w:rsid w:val="26B15A9F"/>
    <w:rsid w:val="26C44863"/>
    <w:rsid w:val="26C45D08"/>
    <w:rsid w:val="26D869B5"/>
    <w:rsid w:val="26E05BED"/>
    <w:rsid w:val="26EF3957"/>
    <w:rsid w:val="27084A19"/>
    <w:rsid w:val="272E26D1"/>
    <w:rsid w:val="273852FE"/>
    <w:rsid w:val="274F2F37"/>
    <w:rsid w:val="27514612"/>
    <w:rsid w:val="275B34F0"/>
    <w:rsid w:val="279664C8"/>
    <w:rsid w:val="279E4939"/>
    <w:rsid w:val="27A57BF1"/>
    <w:rsid w:val="27CB7F20"/>
    <w:rsid w:val="27FA3A4E"/>
    <w:rsid w:val="27FD02F5"/>
    <w:rsid w:val="282E19AD"/>
    <w:rsid w:val="28484839"/>
    <w:rsid w:val="286A6B64"/>
    <w:rsid w:val="286D547B"/>
    <w:rsid w:val="289932BC"/>
    <w:rsid w:val="28CC21F1"/>
    <w:rsid w:val="28F65471"/>
    <w:rsid w:val="2900009D"/>
    <w:rsid w:val="292E56CA"/>
    <w:rsid w:val="292E63D1"/>
    <w:rsid w:val="296F0D7F"/>
    <w:rsid w:val="298F1421"/>
    <w:rsid w:val="29954C89"/>
    <w:rsid w:val="29A77EC5"/>
    <w:rsid w:val="29C54E43"/>
    <w:rsid w:val="29C652D2"/>
    <w:rsid w:val="29D137E8"/>
    <w:rsid w:val="2A1F27A5"/>
    <w:rsid w:val="2A3D6BE5"/>
    <w:rsid w:val="2A586347"/>
    <w:rsid w:val="2A636B36"/>
    <w:rsid w:val="2A756E6A"/>
    <w:rsid w:val="2AC05D36"/>
    <w:rsid w:val="2AC1405C"/>
    <w:rsid w:val="2AC232FA"/>
    <w:rsid w:val="2ACB46DB"/>
    <w:rsid w:val="2AE412F9"/>
    <w:rsid w:val="2AE65071"/>
    <w:rsid w:val="2AE9690F"/>
    <w:rsid w:val="2AEB6935"/>
    <w:rsid w:val="2B0A6FB1"/>
    <w:rsid w:val="2B411285"/>
    <w:rsid w:val="2B4C1378"/>
    <w:rsid w:val="2B682DE6"/>
    <w:rsid w:val="2B69017C"/>
    <w:rsid w:val="2B725020"/>
    <w:rsid w:val="2B814D54"/>
    <w:rsid w:val="2B885D3A"/>
    <w:rsid w:val="2BDE7D31"/>
    <w:rsid w:val="2BE72101"/>
    <w:rsid w:val="2BF9616F"/>
    <w:rsid w:val="2C02237E"/>
    <w:rsid w:val="2C0F2980"/>
    <w:rsid w:val="2C1161A1"/>
    <w:rsid w:val="2C7768C8"/>
    <w:rsid w:val="2C7F56C9"/>
    <w:rsid w:val="2C8A14CE"/>
    <w:rsid w:val="2C9E20A7"/>
    <w:rsid w:val="2CA57FCC"/>
    <w:rsid w:val="2CBA0563"/>
    <w:rsid w:val="2CDA0C05"/>
    <w:rsid w:val="2CE77C74"/>
    <w:rsid w:val="2CF27CFD"/>
    <w:rsid w:val="2CF33A75"/>
    <w:rsid w:val="2D055330"/>
    <w:rsid w:val="2D126EEF"/>
    <w:rsid w:val="2D1339AB"/>
    <w:rsid w:val="2D60362C"/>
    <w:rsid w:val="2D691E8F"/>
    <w:rsid w:val="2D6D3827"/>
    <w:rsid w:val="2D815990"/>
    <w:rsid w:val="2D8E737F"/>
    <w:rsid w:val="2D961495"/>
    <w:rsid w:val="2DA90D03"/>
    <w:rsid w:val="2DC80752"/>
    <w:rsid w:val="2DCF5994"/>
    <w:rsid w:val="2DDA569E"/>
    <w:rsid w:val="2DDF4E82"/>
    <w:rsid w:val="2E150715"/>
    <w:rsid w:val="2E4B02B0"/>
    <w:rsid w:val="2E7A444E"/>
    <w:rsid w:val="2E7A61FC"/>
    <w:rsid w:val="2E994E5D"/>
    <w:rsid w:val="2E9A77AF"/>
    <w:rsid w:val="2EBA6F40"/>
    <w:rsid w:val="2ECD27D0"/>
    <w:rsid w:val="2EE56C48"/>
    <w:rsid w:val="2EF97D09"/>
    <w:rsid w:val="2EFE507F"/>
    <w:rsid w:val="2F097580"/>
    <w:rsid w:val="2F0C451E"/>
    <w:rsid w:val="2F1E6D4C"/>
    <w:rsid w:val="2F2F348A"/>
    <w:rsid w:val="2F4F1437"/>
    <w:rsid w:val="2F5C3B54"/>
    <w:rsid w:val="2F5D3639"/>
    <w:rsid w:val="2F692CF6"/>
    <w:rsid w:val="2F7E1D1C"/>
    <w:rsid w:val="2F7E5285"/>
    <w:rsid w:val="2F8103A6"/>
    <w:rsid w:val="2F862062"/>
    <w:rsid w:val="2F921111"/>
    <w:rsid w:val="2FA71213"/>
    <w:rsid w:val="2FB614B6"/>
    <w:rsid w:val="2FD302BA"/>
    <w:rsid w:val="2FEE1D26"/>
    <w:rsid w:val="2FF95846"/>
    <w:rsid w:val="30093CDB"/>
    <w:rsid w:val="300C7328"/>
    <w:rsid w:val="302846F7"/>
    <w:rsid w:val="3034062C"/>
    <w:rsid w:val="307F6CF5"/>
    <w:rsid w:val="30816435"/>
    <w:rsid w:val="30887EF2"/>
    <w:rsid w:val="308A1BAB"/>
    <w:rsid w:val="308B3CC1"/>
    <w:rsid w:val="308C0B9A"/>
    <w:rsid w:val="30B22269"/>
    <w:rsid w:val="30C714A1"/>
    <w:rsid w:val="30EE4C7F"/>
    <w:rsid w:val="30FF3940"/>
    <w:rsid w:val="310E5321"/>
    <w:rsid w:val="31153CE8"/>
    <w:rsid w:val="311D5CD4"/>
    <w:rsid w:val="31232B7B"/>
    <w:rsid w:val="313528AE"/>
    <w:rsid w:val="31542D13"/>
    <w:rsid w:val="316C5FB0"/>
    <w:rsid w:val="31701B38"/>
    <w:rsid w:val="317C04DD"/>
    <w:rsid w:val="31AF06BB"/>
    <w:rsid w:val="31B40BED"/>
    <w:rsid w:val="31CC316C"/>
    <w:rsid w:val="31E340B8"/>
    <w:rsid w:val="31EF6F01"/>
    <w:rsid w:val="31FF1634"/>
    <w:rsid w:val="323808A8"/>
    <w:rsid w:val="323B2146"/>
    <w:rsid w:val="325075C6"/>
    <w:rsid w:val="32507A23"/>
    <w:rsid w:val="325E7BE3"/>
    <w:rsid w:val="326E1C4D"/>
    <w:rsid w:val="32B36180"/>
    <w:rsid w:val="32C20171"/>
    <w:rsid w:val="32D560F7"/>
    <w:rsid w:val="32DC1D7F"/>
    <w:rsid w:val="32F97187"/>
    <w:rsid w:val="33093FF2"/>
    <w:rsid w:val="331075BD"/>
    <w:rsid w:val="331429F5"/>
    <w:rsid w:val="3340521B"/>
    <w:rsid w:val="3349297A"/>
    <w:rsid w:val="337C341A"/>
    <w:rsid w:val="338F00AE"/>
    <w:rsid w:val="339A2E9C"/>
    <w:rsid w:val="33AE2763"/>
    <w:rsid w:val="33AE2B35"/>
    <w:rsid w:val="33DC34B5"/>
    <w:rsid w:val="340547BA"/>
    <w:rsid w:val="3421711A"/>
    <w:rsid w:val="342804A8"/>
    <w:rsid w:val="345D30FE"/>
    <w:rsid w:val="346314E0"/>
    <w:rsid w:val="346E6803"/>
    <w:rsid w:val="347436ED"/>
    <w:rsid w:val="34A83397"/>
    <w:rsid w:val="34AA3ECB"/>
    <w:rsid w:val="35052FCD"/>
    <w:rsid w:val="350E58F0"/>
    <w:rsid w:val="35183BE5"/>
    <w:rsid w:val="351F3657"/>
    <w:rsid w:val="35551771"/>
    <w:rsid w:val="357B20BE"/>
    <w:rsid w:val="35C81F43"/>
    <w:rsid w:val="35CE4DA2"/>
    <w:rsid w:val="35E06788"/>
    <w:rsid w:val="3607721A"/>
    <w:rsid w:val="36115B96"/>
    <w:rsid w:val="361C5B5C"/>
    <w:rsid w:val="361E1B02"/>
    <w:rsid w:val="362634C1"/>
    <w:rsid w:val="362A518D"/>
    <w:rsid w:val="3636786A"/>
    <w:rsid w:val="3643511F"/>
    <w:rsid w:val="365F1F65"/>
    <w:rsid w:val="36657792"/>
    <w:rsid w:val="366A2E82"/>
    <w:rsid w:val="369E2844"/>
    <w:rsid w:val="369E3E1F"/>
    <w:rsid w:val="36A05164"/>
    <w:rsid w:val="36C070BE"/>
    <w:rsid w:val="36C220E1"/>
    <w:rsid w:val="36C407CE"/>
    <w:rsid w:val="372238D5"/>
    <w:rsid w:val="375F0685"/>
    <w:rsid w:val="377203B8"/>
    <w:rsid w:val="37881C4C"/>
    <w:rsid w:val="37A47BDC"/>
    <w:rsid w:val="37B518AA"/>
    <w:rsid w:val="37E1109A"/>
    <w:rsid w:val="37F466F8"/>
    <w:rsid w:val="37F76B0F"/>
    <w:rsid w:val="38317F3A"/>
    <w:rsid w:val="38765C86"/>
    <w:rsid w:val="38891CA9"/>
    <w:rsid w:val="389A7702"/>
    <w:rsid w:val="38CA4224"/>
    <w:rsid w:val="38DE0963"/>
    <w:rsid w:val="38F372D7"/>
    <w:rsid w:val="38F43702"/>
    <w:rsid w:val="38F82D01"/>
    <w:rsid w:val="390D7E29"/>
    <w:rsid w:val="390E2362"/>
    <w:rsid w:val="390F1C37"/>
    <w:rsid w:val="391B682D"/>
    <w:rsid w:val="391C048E"/>
    <w:rsid w:val="39362A54"/>
    <w:rsid w:val="394144E6"/>
    <w:rsid w:val="3945176F"/>
    <w:rsid w:val="39845ABA"/>
    <w:rsid w:val="39895E8A"/>
    <w:rsid w:val="399866F7"/>
    <w:rsid w:val="399D1DD6"/>
    <w:rsid w:val="39AB0F94"/>
    <w:rsid w:val="39B0341A"/>
    <w:rsid w:val="39B84A05"/>
    <w:rsid w:val="39CF4A42"/>
    <w:rsid w:val="39DF4E97"/>
    <w:rsid w:val="3A35391F"/>
    <w:rsid w:val="3A4D27B5"/>
    <w:rsid w:val="3A5244D1"/>
    <w:rsid w:val="3A6A5686"/>
    <w:rsid w:val="3A7206CF"/>
    <w:rsid w:val="3A9A337B"/>
    <w:rsid w:val="3B160AA7"/>
    <w:rsid w:val="3B4E468F"/>
    <w:rsid w:val="3B6E69DA"/>
    <w:rsid w:val="3B8A37F6"/>
    <w:rsid w:val="3BA21881"/>
    <w:rsid w:val="3BC81537"/>
    <w:rsid w:val="3BCC2061"/>
    <w:rsid w:val="3BD63389"/>
    <w:rsid w:val="3BDC6748"/>
    <w:rsid w:val="3BF70E8C"/>
    <w:rsid w:val="3C251AE4"/>
    <w:rsid w:val="3C294A0B"/>
    <w:rsid w:val="3C3C1AF0"/>
    <w:rsid w:val="3C4165AB"/>
    <w:rsid w:val="3C5444C3"/>
    <w:rsid w:val="3C591B47"/>
    <w:rsid w:val="3C8079E2"/>
    <w:rsid w:val="3C976B54"/>
    <w:rsid w:val="3C9C5ED7"/>
    <w:rsid w:val="3CB94393"/>
    <w:rsid w:val="3CC9028A"/>
    <w:rsid w:val="3CD218F9"/>
    <w:rsid w:val="3CDB07AE"/>
    <w:rsid w:val="3CEF41ED"/>
    <w:rsid w:val="3D1233FB"/>
    <w:rsid w:val="3D1912D6"/>
    <w:rsid w:val="3D3B2FFA"/>
    <w:rsid w:val="3D532A3A"/>
    <w:rsid w:val="3D670293"/>
    <w:rsid w:val="3D736C38"/>
    <w:rsid w:val="3D7E738B"/>
    <w:rsid w:val="3D8C402F"/>
    <w:rsid w:val="3D997AE7"/>
    <w:rsid w:val="3D9F5C7F"/>
    <w:rsid w:val="3DAA1B9C"/>
    <w:rsid w:val="3DB66B25"/>
    <w:rsid w:val="3DC10D48"/>
    <w:rsid w:val="3DDB22F1"/>
    <w:rsid w:val="3E016501"/>
    <w:rsid w:val="3E06185A"/>
    <w:rsid w:val="3E1A13CA"/>
    <w:rsid w:val="3E22167C"/>
    <w:rsid w:val="3E241CE0"/>
    <w:rsid w:val="3E5C1923"/>
    <w:rsid w:val="3E8804C1"/>
    <w:rsid w:val="3E9A6446"/>
    <w:rsid w:val="3EA00DD4"/>
    <w:rsid w:val="3EAD0992"/>
    <w:rsid w:val="3EAE23E6"/>
    <w:rsid w:val="3ED6747E"/>
    <w:rsid w:val="3EF2771E"/>
    <w:rsid w:val="3EF76C34"/>
    <w:rsid w:val="3F177A97"/>
    <w:rsid w:val="3F4E170B"/>
    <w:rsid w:val="3F8C5D4D"/>
    <w:rsid w:val="3F93711E"/>
    <w:rsid w:val="3FA7328E"/>
    <w:rsid w:val="3FBB48C6"/>
    <w:rsid w:val="3FC217B1"/>
    <w:rsid w:val="3FCB5CD5"/>
    <w:rsid w:val="3FD634AE"/>
    <w:rsid w:val="3FE200A5"/>
    <w:rsid w:val="40044CA3"/>
    <w:rsid w:val="406311E6"/>
    <w:rsid w:val="406B6BA3"/>
    <w:rsid w:val="4081490E"/>
    <w:rsid w:val="40835965"/>
    <w:rsid w:val="40AB493B"/>
    <w:rsid w:val="40AB66E9"/>
    <w:rsid w:val="40D56E2C"/>
    <w:rsid w:val="40E1035D"/>
    <w:rsid w:val="40EA5463"/>
    <w:rsid w:val="40F005A0"/>
    <w:rsid w:val="41175B2C"/>
    <w:rsid w:val="411C537B"/>
    <w:rsid w:val="412B12FB"/>
    <w:rsid w:val="412F10C8"/>
    <w:rsid w:val="41454A27"/>
    <w:rsid w:val="41474664"/>
    <w:rsid w:val="416A3C98"/>
    <w:rsid w:val="416A65A4"/>
    <w:rsid w:val="416F5968"/>
    <w:rsid w:val="4194717D"/>
    <w:rsid w:val="419521F9"/>
    <w:rsid w:val="419671AB"/>
    <w:rsid w:val="419B050B"/>
    <w:rsid w:val="41D37CA5"/>
    <w:rsid w:val="42067BB5"/>
    <w:rsid w:val="420B186A"/>
    <w:rsid w:val="420C46A0"/>
    <w:rsid w:val="425531DB"/>
    <w:rsid w:val="425828A0"/>
    <w:rsid w:val="426B39AF"/>
    <w:rsid w:val="426C6036"/>
    <w:rsid w:val="42701C3E"/>
    <w:rsid w:val="42927B60"/>
    <w:rsid w:val="429F5DD9"/>
    <w:rsid w:val="42AA25BB"/>
    <w:rsid w:val="42C27D1A"/>
    <w:rsid w:val="42FC322C"/>
    <w:rsid w:val="430B26E7"/>
    <w:rsid w:val="43236A0A"/>
    <w:rsid w:val="43244357"/>
    <w:rsid w:val="435F5F4D"/>
    <w:rsid w:val="43727840"/>
    <w:rsid w:val="438C104B"/>
    <w:rsid w:val="43907DFA"/>
    <w:rsid w:val="43917E18"/>
    <w:rsid w:val="43973589"/>
    <w:rsid w:val="43BA7D1E"/>
    <w:rsid w:val="43CE404D"/>
    <w:rsid w:val="43D9606C"/>
    <w:rsid w:val="43EA577A"/>
    <w:rsid w:val="43F565F9"/>
    <w:rsid w:val="44043271"/>
    <w:rsid w:val="440F4C2C"/>
    <w:rsid w:val="441445A5"/>
    <w:rsid w:val="44204A4F"/>
    <w:rsid w:val="44240C8C"/>
    <w:rsid w:val="442819B2"/>
    <w:rsid w:val="44315157"/>
    <w:rsid w:val="4440687F"/>
    <w:rsid w:val="4441183E"/>
    <w:rsid w:val="444C01E3"/>
    <w:rsid w:val="44501CFB"/>
    <w:rsid w:val="445C32B8"/>
    <w:rsid w:val="446748C5"/>
    <w:rsid w:val="44753296"/>
    <w:rsid w:val="447A699C"/>
    <w:rsid w:val="448404C5"/>
    <w:rsid w:val="44947C39"/>
    <w:rsid w:val="44B073D7"/>
    <w:rsid w:val="44B244EA"/>
    <w:rsid w:val="44C41E53"/>
    <w:rsid w:val="44EA4407"/>
    <w:rsid w:val="45070659"/>
    <w:rsid w:val="452E45E0"/>
    <w:rsid w:val="45563347"/>
    <w:rsid w:val="4558081F"/>
    <w:rsid w:val="456F4189"/>
    <w:rsid w:val="4581523A"/>
    <w:rsid w:val="459003E1"/>
    <w:rsid w:val="45CF2E79"/>
    <w:rsid w:val="45D264C6"/>
    <w:rsid w:val="45F22D19"/>
    <w:rsid w:val="46496B6C"/>
    <w:rsid w:val="46511AE0"/>
    <w:rsid w:val="4664307F"/>
    <w:rsid w:val="467852BF"/>
    <w:rsid w:val="46B00687"/>
    <w:rsid w:val="46B11CD5"/>
    <w:rsid w:val="46B175D6"/>
    <w:rsid w:val="46F766E4"/>
    <w:rsid w:val="46FA73EB"/>
    <w:rsid w:val="46FF778E"/>
    <w:rsid w:val="470536AA"/>
    <w:rsid w:val="470A0195"/>
    <w:rsid w:val="47161613"/>
    <w:rsid w:val="471E63F9"/>
    <w:rsid w:val="4720342C"/>
    <w:rsid w:val="47290367"/>
    <w:rsid w:val="472A396E"/>
    <w:rsid w:val="47413903"/>
    <w:rsid w:val="47460F19"/>
    <w:rsid w:val="477074D3"/>
    <w:rsid w:val="47841A42"/>
    <w:rsid w:val="47950E1F"/>
    <w:rsid w:val="47D22821"/>
    <w:rsid w:val="47DC4C87"/>
    <w:rsid w:val="47DE1152"/>
    <w:rsid w:val="47F150CD"/>
    <w:rsid w:val="47FC5A7C"/>
    <w:rsid w:val="47FE7A46"/>
    <w:rsid w:val="48001924"/>
    <w:rsid w:val="48020B5F"/>
    <w:rsid w:val="483325A8"/>
    <w:rsid w:val="48555247"/>
    <w:rsid w:val="48710218"/>
    <w:rsid w:val="48813492"/>
    <w:rsid w:val="48A0001F"/>
    <w:rsid w:val="48E21116"/>
    <w:rsid w:val="48EC6878"/>
    <w:rsid w:val="4910358D"/>
    <w:rsid w:val="4910501B"/>
    <w:rsid w:val="49133C8C"/>
    <w:rsid w:val="49134BDB"/>
    <w:rsid w:val="49470D20"/>
    <w:rsid w:val="494952DA"/>
    <w:rsid w:val="494C304C"/>
    <w:rsid w:val="49666AFD"/>
    <w:rsid w:val="496D5D01"/>
    <w:rsid w:val="499F184C"/>
    <w:rsid w:val="49A12AC4"/>
    <w:rsid w:val="49AA39E1"/>
    <w:rsid w:val="49B86DA4"/>
    <w:rsid w:val="49CA5E32"/>
    <w:rsid w:val="49D22F38"/>
    <w:rsid w:val="49D40A5E"/>
    <w:rsid w:val="49D43F01"/>
    <w:rsid w:val="49E453D5"/>
    <w:rsid w:val="49FA60E9"/>
    <w:rsid w:val="4A062BE2"/>
    <w:rsid w:val="4A1470AD"/>
    <w:rsid w:val="4A1B73C5"/>
    <w:rsid w:val="4A387F45"/>
    <w:rsid w:val="4A603C02"/>
    <w:rsid w:val="4A6368B8"/>
    <w:rsid w:val="4A6C0FD1"/>
    <w:rsid w:val="4A7101CC"/>
    <w:rsid w:val="4A946440"/>
    <w:rsid w:val="4AA448D5"/>
    <w:rsid w:val="4ACE54AE"/>
    <w:rsid w:val="4AD131F0"/>
    <w:rsid w:val="4AD351BA"/>
    <w:rsid w:val="4AD64873"/>
    <w:rsid w:val="4AE271AB"/>
    <w:rsid w:val="4AEE5B50"/>
    <w:rsid w:val="4B0E7FA0"/>
    <w:rsid w:val="4B294DDA"/>
    <w:rsid w:val="4B2D4953"/>
    <w:rsid w:val="4B2E1DFD"/>
    <w:rsid w:val="4B932FE8"/>
    <w:rsid w:val="4BA40904"/>
    <w:rsid w:val="4BBC5E04"/>
    <w:rsid w:val="4BD90885"/>
    <w:rsid w:val="4BF07332"/>
    <w:rsid w:val="4C043151"/>
    <w:rsid w:val="4C2E4312"/>
    <w:rsid w:val="4C4F0870"/>
    <w:rsid w:val="4C81255E"/>
    <w:rsid w:val="4C8D7E11"/>
    <w:rsid w:val="4C9149E5"/>
    <w:rsid w:val="4C9814EE"/>
    <w:rsid w:val="4C9D11F8"/>
    <w:rsid w:val="4CCA2131"/>
    <w:rsid w:val="4CD26444"/>
    <w:rsid w:val="4D0573C0"/>
    <w:rsid w:val="4D0E0191"/>
    <w:rsid w:val="4D1D3DA9"/>
    <w:rsid w:val="4D3D3EF3"/>
    <w:rsid w:val="4D49738B"/>
    <w:rsid w:val="4D5679DC"/>
    <w:rsid w:val="4D616AAD"/>
    <w:rsid w:val="4D714FBA"/>
    <w:rsid w:val="4DAF1E79"/>
    <w:rsid w:val="4DBA61BD"/>
    <w:rsid w:val="4DC012BC"/>
    <w:rsid w:val="4DD76D6F"/>
    <w:rsid w:val="4DF74C59"/>
    <w:rsid w:val="4E013DEC"/>
    <w:rsid w:val="4E192C4E"/>
    <w:rsid w:val="4E2125F7"/>
    <w:rsid w:val="4E45017D"/>
    <w:rsid w:val="4E494A11"/>
    <w:rsid w:val="4E516B22"/>
    <w:rsid w:val="4E811233"/>
    <w:rsid w:val="4E8F31A6"/>
    <w:rsid w:val="4EA34BF5"/>
    <w:rsid w:val="4EDB0B98"/>
    <w:rsid w:val="4F075325"/>
    <w:rsid w:val="4F147B4F"/>
    <w:rsid w:val="4F225EE7"/>
    <w:rsid w:val="4F2A1121"/>
    <w:rsid w:val="4F2E14DD"/>
    <w:rsid w:val="4F585C8E"/>
    <w:rsid w:val="4FD00A2C"/>
    <w:rsid w:val="4FDC039B"/>
    <w:rsid w:val="4FFC0D0F"/>
    <w:rsid w:val="500145FF"/>
    <w:rsid w:val="501B42C9"/>
    <w:rsid w:val="501D4CAD"/>
    <w:rsid w:val="5029091A"/>
    <w:rsid w:val="502A2D3A"/>
    <w:rsid w:val="502D711A"/>
    <w:rsid w:val="5032028D"/>
    <w:rsid w:val="503B1837"/>
    <w:rsid w:val="50850D04"/>
    <w:rsid w:val="50C04E2C"/>
    <w:rsid w:val="50C4231C"/>
    <w:rsid w:val="50CF7514"/>
    <w:rsid w:val="50F1639A"/>
    <w:rsid w:val="50F25F5F"/>
    <w:rsid w:val="50F813C3"/>
    <w:rsid w:val="50F81CDA"/>
    <w:rsid w:val="50FD5539"/>
    <w:rsid w:val="5100368A"/>
    <w:rsid w:val="512D394D"/>
    <w:rsid w:val="51363DAD"/>
    <w:rsid w:val="51385D77"/>
    <w:rsid w:val="513E0393"/>
    <w:rsid w:val="513F12F1"/>
    <w:rsid w:val="5144471C"/>
    <w:rsid w:val="514566E6"/>
    <w:rsid w:val="51532BB1"/>
    <w:rsid w:val="5174191B"/>
    <w:rsid w:val="518E1E3B"/>
    <w:rsid w:val="51B178D7"/>
    <w:rsid w:val="51B416C6"/>
    <w:rsid w:val="51D70186"/>
    <w:rsid w:val="51DE0460"/>
    <w:rsid w:val="52624209"/>
    <w:rsid w:val="529671F9"/>
    <w:rsid w:val="53237EE3"/>
    <w:rsid w:val="5345477B"/>
    <w:rsid w:val="53515103"/>
    <w:rsid w:val="53744C5E"/>
    <w:rsid w:val="5378368E"/>
    <w:rsid w:val="53803508"/>
    <w:rsid w:val="5385101B"/>
    <w:rsid w:val="53A5346C"/>
    <w:rsid w:val="54255D77"/>
    <w:rsid w:val="542720D3"/>
    <w:rsid w:val="542C518A"/>
    <w:rsid w:val="542E03CC"/>
    <w:rsid w:val="54426F70"/>
    <w:rsid w:val="54501ED3"/>
    <w:rsid w:val="545804DE"/>
    <w:rsid w:val="547E1787"/>
    <w:rsid w:val="548117E3"/>
    <w:rsid w:val="548337AD"/>
    <w:rsid w:val="54866DF9"/>
    <w:rsid w:val="549B4DB8"/>
    <w:rsid w:val="549F6838"/>
    <w:rsid w:val="54B576DE"/>
    <w:rsid w:val="54BA5DE4"/>
    <w:rsid w:val="54BD3B77"/>
    <w:rsid w:val="54CA13DC"/>
    <w:rsid w:val="550156E8"/>
    <w:rsid w:val="5523289A"/>
    <w:rsid w:val="555D7E50"/>
    <w:rsid w:val="55911EF9"/>
    <w:rsid w:val="559317CE"/>
    <w:rsid w:val="55946466"/>
    <w:rsid w:val="55996807"/>
    <w:rsid w:val="55BB6F76"/>
    <w:rsid w:val="560E615D"/>
    <w:rsid w:val="56161C92"/>
    <w:rsid w:val="563A60ED"/>
    <w:rsid w:val="565076BF"/>
    <w:rsid w:val="56644369"/>
    <w:rsid w:val="56812764"/>
    <w:rsid w:val="56A4570F"/>
    <w:rsid w:val="56A95021"/>
    <w:rsid w:val="56AB0D99"/>
    <w:rsid w:val="56DA342C"/>
    <w:rsid w:val="56FD2A70"/>
    <w:rsid w:val="57407733"/>
    <w:rsid w:val="5750250B"/>
    <w:rsid w:val="575A5550"/>
    <w:rsid w:val="577216B2"/>
    <w:rsid w:val="57790D09"/>
    <w:rsid w:val="577F6068"/>
    <w:rsid w:val="5787613A"/>
    <w:rsid w:val="57B51847"/>
    <w:rsid w:val="57D97945"/>
    <w:rsid w:val="57FD3876"/>
    <w:rsid w:val="58005B29"/>
    <w:rsid w:val="580D578D"/>
    <w:rsid w:val="581417E1"/>
    <w:rsid w:val="581D2814"/>
    <w:rsid w:val="58430661"/>
    <w:rsid w:val="58616666"/>
    <w:rsid w:val="587E4EED"/>
    <w:rsid w:val="58B77EC9"/>
    <w:rsid w:val="58C43FBA"/>
    <w:rsid w:val="58CE0D6F"/>
    <w:rsid w:val="58E10AA2"/>
    <w:rsid w:val="59032EFD"/>
    <w:rsid w:val="59457283"/>
    <w:rsid w:val="59676FF8"/>
    <w:rsid w:val="59701E26"/>
    <w:rsid w:val="597436C4"/>
    <w:rsid w:val="59875AED"/>
    <w:rsid w:val="59B90A41"/>
    <w:rsid w:val="59CD7278"/>
    <w:rsid w:val="5A0C5FF2"/>
    <w:rsid w:val="5A132EDD"/>
    <w:rsid w:val="5A1B2ADD"/>
    <w:rsid w:val="5A2570B4"/>
    <w:rsid w:val="5A4C2BB6"/>
    <w:rsid w:val="5A596A7B"/>
    <w:rsid w:val="5A835C50"/>
    <w:rsid w:val="5A90452E"/>
    <w:rsid w:val="5A921207"/>
    <w:rsid w:val="5A92249C"/>
    <w:rsid w:val="5A9F45C6"/>
    <w:rsid w:val="5AAD0799"/>
    <w:rsid w:val="5ABE01AE"/>
    <w:rsid w:val="5AC4067B"/>
    <w:rsid w:val="5AF34ABD"/>
    <w:rsid w:val="5AF423EC"/>
    <w:rsid w:val="5AFD4BF2"/>
    <w:rsid w:val="5B4D4E12"/>
    <w:rsid w:val="5B503CBD"/>
    <w:rsid w:val="5B5419FF"/>
    <w:rsid w:val="5B595267"/>
    <w:rsid w:val="5B5B66DC"/>
    <w:rsid w:val="5B8F2A37"/>
    <w:rsid w:val="5BAA4FA7"/>
    <w:rsid w:val="5BC528FD"/>
    <w:rsid w:val="5BD97B4D"/>
    <w:rsid w:val="5BE4472C"/>
    <w:rsid w:val="5BF46D3E"/>
    <w:rsid w:val="5BFD2097"/>
    <w:rsid w:val="5C2D3FFE"/>
    <w:rsid w:val="5C317F92"/>
    <w:rsid w:val="5C4D7325"/>
    <w:rsid w:val="5C653754"/>
    <w:rsid w:val="5C70020F"/>
    <w:rsid w:val="5C796211"/>
    <w:rsid w:val="5C7B120D"/>
    <w:rsid w:val="5CA6628A"/>
    <w:rsid w:val="5CB00EB7"/>
    <w:rsid w:val="5CB169DD"/>
    <w:rsid w:val="5CBD7585"/>
    <w:rsid w:val="5CED1418"/>
    <w:rsid w:val="5CFD1C22"/>
    <w:rsid w:val="5D0905C7"/>
    <w:rsid w:val="5D1A17A6"/>
    <w:rsid w:val="5D504448"/>
    <w:rsid w:val="5D624CBF"/>
    <w:rsid w:val="5D647EF4"/>
    <w:rsid w:val="5D850596"/>
    <w:rsid w:val="5D9407D9"/>
    <w:rsid w:val="5DAC2B03"/>
    <w:rsid w:val="5DAC7E09"/>
    <w:rsid w:val="5DBB3FB7"/>
    <w:rsid w:val="5DBF2631"/>
    <w:rsid w:val="5DDB4A18"/>
    <w:rsid w:val="5DE53A00"/>
    <w:rsid w:val="5DE60909"/>
    <w:rsid w:val="5DF9063C"/>
    <w:rsid w:val="5E111E29"/>
    <w:rsid w:val="5E1E00A2"/>
    <w:rsid w:val="5E251431"/>
    <w:rsid w:val="5E343D6A"/>
    <w:rsid w:val="5E3C4FFE"/>
    <w:rsid w:val="5E4F64AE"/>
    <w:rsid w:val="5E653F23"/>
    <w:rsid w:val="5E6C7060"/>
    <w:rsid w:val="5E7D301B"/>
    <w:rsid w:val="5E8A71F9"/>
    <w:rsid w:val="5ED54C05"/>
    <w:rsid w:val="5F0A2E79"/>
    <w:rsid w:val="5F127964"/>
    <w:rsid w:val="5F724B4A"/>
    <w:rsid w:val="5F7252F3"/>
    <w:rsid w:val="5F776174"/>
    <w:rsid w:val="5F9D3CAD"/>
    <w:rsid w:val="5F9E593F"/>
    <w:rsid w:val="5FA97E40"/>
    <w:rsid w:val="6000631F"/>
    <w:rsid w:val="601E00DB"/>
    <w:rsid w:val="603B4F3C"/>
    <w:rsid w:val="603E1BE4"/>
    <w:rsid w:val="605021BC"/>
    <w:rsid w:val="60593614"/>
    <w:rsid w:val="605D2FD1"/>
    <w:rsid w:val="609805E0"/>
    <w:rsid w:val="60A6190E"/>
    <w:rsid w:val="60A70B9F"/>
    <w:rsid w:val="60A800F7"/>
    <w:rsid w:val="60ED4071"/>
    <w:rsid w:val="61047A23"/>
    <w:rsid w:val="610521D1"/>
    <w:rsid w:val="612C6F7A"/>
    <w:rsid w:val="61446072"/>
    <w:rsid w:val="616338E7"/>
    <w:rsid w:val="61761FA3"/>
    <w:rsid w:val="61840B64"/>
    <w:rsid w:val="61886913"/>
    <w:rsid w:val="61904768"/>
    <w:rsid w:val="61911613"/>
    <w:rsid w:val="61A30FEA"/>
    <w:rsid w:val="61BA389A"/>
    <w:rsid w:val="61D56732"/>
    <w:rsid w:val="61D92C5E"/>
    <w:rsid w:val="62037CDB"/>
    <w:rsid w:val="622D4D58"/>
    <w:rsid w:val="622D6272"/>
    <w:rsid w:val="623209F1"/>
    <w:rsid w:val="623C31ED"/>
    <w:rsid w:val="624A590A"/>
    <w:rsid w:val="625F7441"/>
    <w:rsid w:val="62616D7A"/>
    <w:rsid w:val="62652744"/>
    <w:rsid w:val="626F711E"/>
    <w:rsid w:val="627604AD"/>
    <w:rsid w:val="62A22C53"/>
    <w:rsid w:val="62A72D5C"/>
    <w:rsid w:val="62A96C61"/>
    <w:rsid w:val="62B5164B"/>
    <w:rsid w:val="62B80AC5"/>
    <w:rsid w:val="62CF7BBD"/>
    <w:rsid w:val="630737FB"/>
    <w:rsid w:val="631877B6"/>
    <w:rsid w:val="63396495"/>
    <w:rsid w:val="634A0512"/>
    <w:rsid w:val="63757DE6"/>
    <w:rsid w:val="638C7DDC"/>
    <w:rsid w:val="63A65755"/>
    <w:rsid w:val="63B36DDE"/>
    <w:rsid w:val="63B96AC2"/>
    <w:rsid w:val="63BC23B8"/>
    <w:rsid w:val="63D33C44"/>
    <w:rsid w:val="63F55D49"/>
    <w:rsid w:val="63F867DB"/>
    <w:rsid w:val="64187C7E"/>
    <w:rsid w:val="642A77A1"/>
    <w:rsid w:val="643E69B9"/>
    <w:rsid w:val="64406FC4"/>
    <w:rsid w:val="644E185F"/>
    <w:rsid w:val="644F7208"/>
    <w:rsid w:val="64504D2E"/>
    <w:rsid w:val="64632CB3"/>
    <w:rsid w:val="648813DD"/>
    <w:rsid w:val="64B4350F"/>
    <w:rsid w:val="64F953C5"/>
    <w:rsid w:val="64FE478A"/>
    <w:rsid w:val="65486764"/>
    <w:rsid w:val="65585F5F"/>
    <w:rsid w:val="655B17D7"/>
    <w:rsid w:val="65650C94"/>
    <w:rsid w:val="65670581"/>
    <w:rsid w:val="658B07BD"/>
    <w:rsid w:val="65FE77FC"/>
    <w:rsid w:val="663812EA"/>
    <w:rsid w:val="663A7A43"/>
    <w:rsid w:val="6646288C"/>
    <w:rsid w:val="664F64F9"/>
    <w:rsid w:val="6663397A"/>
    <w:rsid w:val="66634D2A"/>
    <w:rsid w:val="667271DD"/>
    <w:rsid w:val="66AD4C86"/>
    <w:rsid w:val="66C35C8B"/>
    <w:rsid w:val="66CF4630"/>
    <w:rsid w:val="66D7315C"/>
    <w:rsid w:val="66E31061"/>
    <w:rsid w:val="66ED2D08"/>
    <w:rsid w:val="66EF461D"/>
    <w:rsid w:val="66F61333"/>
    <w:rsid w:val="66FB4C46"/>
    <w:rsid w:val="67242BCD"/>
    <w:rsid w:val="673152EA"/>
    <w:rsid w:val="674E77CB"/>
    <w:rsid w:val="67722EB2"/>
    <w:rsid w:val="67830108"/>
    <w:rsid w:val="679A642C"/>
    <w:rsid w:val="67A930D3"/>
    <w:rsid w:val="67BB4BB4"/>
    <w:rsid w:val="67E15BE8"/>
    <w:rsid w:val="68122A58"/>
    <w:rsid w:val="682664D1"/>
    <w:rsid w:val="686F09A9"/>
    <w:rsid w:val="68721717"/>
    <w:rsid w:val="6880458D"/>
    <w:rsid w:val="689E69AF"/>
    <w:rsid w:val="68D075EC"/>
    <w:rsid w:val="68EA74FF"/>
    <w:rsid w:val="68F960E9"/>
    <w:rsid w:val="69002931"/>
    <w:rsid w:val="69085BD7"/>
    <w:rsid w:val="69286279"/>
    <w:rsid w:val="69342E70"/>
    <w:rsid w:val="693D1D24"/>
    <w:rsid w:val="693F6886"/>
    <w:rsid w:val="69716938"/>
    <w:rsid w:val="6985191D"/>
    <w:rsid w:val="698E2580"/>
    <w:rsid w:val="69B978CF"/>
    <w:rsid w:val="69DF2DDC"/>
    <w:rsid w:val="69FA5E67"/>
    <w:rsid w:val="69FA7CA2"/>
    <w:rsid w:val="6A4D147C"/>
    <w:rsid w:val="6A5D1F52"/>
    <w:rsid w:val="6A6E4160"/>
    <w:rsid w:val="6A7D3D08"/>
    <w:rsid w:val="6A8D6A74"/>
    <w:rsid w:val="6A954EDC"/>
    <w:rsid w:val="6AA72883"/>
    <w:rsid w:val="6AB9525A"/>
    <w:rsid w:val="6ADC37BF"/>
    <w:rsid w:val="6B07114B"/>
    <w:rsid w:val="6B141C3C"/>
    <w:rsid w:val="6B260832"/>
    <w:rsid w:val="6B2667E8"/>
    <w:rsid w:val="6B3929BF"/>
    <w:rsid w:val="6B555ED8"/>
    <w:rsid w:val="6B655563"/>
    <w:rsid w:val="6B8579B3"/>
    <w:rsid w:val="6B9E0A74"/>
    <w:rsid w:val="6BD72076"/>
    <w:rsid w:val="6BFF4643"/>
    <w:rsid w:val="6C270A6A"/>
    <w:rsid w:val="6C2A2BEF"/>
    <w:rsid w:val="6C2B6D8B"/>
    <w:rsid w:val="6C68355C"/>
    <w:rsid w:val="6C6A08A1"/>
    <w:rsid w:val="6C773A8C"/>
    <w:rsid w:val="6C78592B"/>
    <w:rsid w:val="6C787517"/>
    <w:rsid w:val="6D0357AE"/>
    <w:rsid w:val="6D203E37"/>
    <w:rsid w:val="6D265DE3"/>
    <w:rsid w:val="6D2C1659"/>
    <w:rsid w:val="6D326D98"/>
    <w:rsid w:val="6D3368F2"/>
    <w:rsid w:val="6D340792"/>
    <w:rsid w:val="6D407A32"/>
    <w:rsid w:val="6D8C5739"/>
    <w:rsid w:val="6D8E6FF3"/>
    <w:rsid w:val="6DA07EEE"/>
    <w:rsid w:val="6DA47AB0"/>
    <w:rsid w:val="6DC81DD9"/>
    <w:rsid w:val="6DEC5ED1"/>
    <w:rsid w:val="6DFE67F0"/>
    <w:rsid w:val="6E1B5232"/>
    <w:rsid w:val="6E1B63AC"/>
    <w:rsid w:val="6E290AC9"/>
    <w:rsid w:val="6E296D1B"/>
    <w:rsid w:val="6E297437"/>
    <w:rsid w:val="6E5013D8"/>
    <w:rsid w:val="6E6164B5"/>
    <w:rsid w:val="6E8126B3"/>
    <w:rsid w:val="6E9E14B7"/>
    <w:rsid w:val="6EAC2554"/>
    <w:rsid w:val="6EB60DF0"/>
    <w:rsid w:val="6EB63F89"/>
    <w:rsid w:val="6EBE41BF"/>
    <w:rsid w:val="6EC3527B"/>
    <w:rsid w:val="6ED85A05"/>
    <w:rsid w:val="6F045673"/>
    <w:rsid w:val="6F0532E4"/>
    <w:rsid w:val="6F307C36"/>
    <w:rsid w:val="6F3609AB"/>
    <w:rsid w:val="6F5055EF"/>
    <w:rsid w:val="6F5C4ECE"/>
    <w:rsid w:val="6F906926"/>
    <w:rsid w:val="6F9A774D"/>
    <w:rsid w:val="6F9E6156"/>
    <w:rsid w:val="6FA776E4"/>
    <w:rsid w:val="6FB504F7"/>
    <w:rsid w:val="6FF66F0F"/>
    <w:rsid w:val="70254047"/>
    <w:rsid w:val="702566DF"/>
    <w:rsid w:val="706D4003"/>
    <w:rsid w:val="70860455"/>
    <w:rsid w:val="70991019"/>
    <w:rsid w:val="71381023"/>
    <w:rsid w:val="713D7696"/>
    <w:rsid w:val="713F0604"/>
    <w:rsid w:val="717A67EB"/>
    <w:rsid w:val="71810C1C"/>
    <w:rsid w:val="71957745"/>
    <w:rsid w:val="71983564"/>
    <w:rsid w:val="719C06EE"/>
    <w:rsid w:val="71AA13A3"/>
    <w:rsid w:val="71B13B4A"/>
    <w:rsid w:val="71B27028"/>
    <w:rsid w:val="71BE63E1"/>
    <w:rsid w:val="71C1726B"/>
    <w:rsid w:val="71F238C8"/>
    <w:rsid w:val="72071122"/>
    <w:rsid w:val="721E196B"/>
    <w:rsid w:val="7224472B"/>
    <w:rsid w:val="72397739"/>
    <w:rsid w:val="723E2669"/>
    <w:rsid w:val="72630D69"/>
    <w:rsid w:val="726F6CC7"/>
    <w:rsid w:val="727B1B10"/>
    <w:rsid w:val="728E539F"/>
    <w:rsid w:val="72B34E05"/>
    <w:rsid w:val="72D64AB6"/>
    <w:rsid w:val="72DB0C89"/>
    <w:rsid w:val="72DF13E9"/>
    <w:rsid w:val="72E15E16"/>
    <w:rsid w:val="72EF5E32"/>
    <w:rsid w:val="730D7037"/>
    <w:rsid w:val="73221F8B"/>
    <w:rsid w:val="732E0930"/>
    <w:rsid w:val="73327518"/>
    <w:rsid w:val="733A0306"/>
    <w:rsid w:val="733C129F"/>
    <w:rsid w:val="734F3300"/>
    <w:rsid w:val="737B1978"/>
    <w:rsid w:val="738A025C"/>
    <w:rsid w:val="738B38F0"/>
    <w:rsid w:val="738E6A01"/>
    <w:rsid w:val="73934E91"/>
    <w:rsid w:val="739717F4"/>
    <w:rsid w:val="73AD60F8"/>
    <w:rsid w:val="73B726D3"/>
    <w:rsid w:val="73BA473F"/>
    <w:rsid w:val="73CA03BA"/>
    <w:rsid w:val="73D72D76"/>
    <w:rsid w:val="73E6120B"/>
    <w:rsid w:val="74001C08"/>
    <w:rsid w:val="740E6598"/>
    <w:rsid w:val="74100036"/>
    <w:rsid w:val="742C0C8D"/>
    <w:rsid w:val="74341FF0"/>
    <w:rsid w:val="74477A47"/>
    <w:rsid w:val="74566390"/>
    <w:rsid w:val="7457466E"/>
    <w:rsid w:val="747B2BE8"/>
    <w:rsid w:val="74962C31"/>
    <w:rsid w:val="749D7B1B"/>
    <w:rsid w:val="74AF784E"/>
    <w:rsid w:val="74B11819"/>
    <w:rsid w:val="74C94C30"/>
    <w:rsid w:val="74CF1C9F"/>
    <w:rsid w:val="74CF2642"/>
    <w:rsid w:val="74DC2A80"/>
    <w:rsid w:val="74ED5CBF"/>
    <w:rsid w:val="750300CE"/>
    <w:rsid w:val="753B0EA0"/>
    <w:rsid w:val="75531083"/>
    <w:rsid w:val="75591B25"/>
    <w:rsid w:val="755E6F31"/>
    <w:rsid w:val="75805E1A"/>
    <w:rsid w:val="7581743D"/>
    <w:rsid w:val="75A20EBA"/>
    <w:rsid w:val="75A630DF"/>
    <w:rsid w:val="75BB6E8A"/>
    <w:rsid w:val="75D91D6C"/>
    <w:rsid w:val="75F220E9"/>
    <w:rsid w:val="75F96FD3"/>
    <w:rsid w:val="75FE74CD"/>
    <w:rsid w:val="7621477C"/>
    <w:rsid w:val="763E70DC"/>
    <w:rsid w:val="764D4EA7"/>
    <w:rsid w:val="7657019E"/>
    <w:rsid w:val="7682346D"/>
    <w:rsid w:val="768371E5"/>
    <w:rsid w:val="769631F8"/>
    <w:rsid w:val="76BB5904"/>
    <w:rsid w:val="76C336BC"/>
    <w:rsid w:val="76CF4F71"/>
    <w:rsid w:val="76DD7484"/>
    <w:rsid w:val="77091498"/>
    <w:rsid w:val="771034E9"/>
    <w:rsid w:val="771F5A16"/>
    <w:rsid w:val="77205412"/>
    <w:rsid w:val="77324BF9"/>
    <w:rsid w:val="774050D5"/>
    <w:rsid w:val="774B5B87"/>
    <w:rsid w:val="777824CA"/>
    <w:rsid w:val="77793D6C"/>
    <w:rsid w:val="777F79AC"/>
    <w:rsid w:val="77A93722"/>
    <w:rsid w:val="77BF5FFA"/>
    <w:rsid w:val="77F02658"/>
    <w:rsid w:val="77F43EF6"/>
    <w:rsid w:val="77F51A1C"/>
    <w:rsid w:val="78130016"/>
    <w:rsid w:val="78235058"/>
    <w:rsid w:val="7850347C"/>
    <w:rsid w:val="78686692"/>
    <w:rsid w:val="7875549E"/>
    <w:rsid w:val="7879264D"/>
    <w:rsid w:val="787B3B4D"/>
    <w:rsid w:val="789B0816"/>
    <w:rsid w:val="78AA30C4"/>
    <w:rsid w:val="78AC657F"/>
    <w:rsid w:val="78B21166"/>
    <w:rsid w:val="78B21C21"/>
    <w:rsid w:val="78C45BB6"/>
    <w:rsid w:val="78D37FAF"/>
    <w:rsid w:val="78DE7212"/>
    <w:rsid w:val="78EC72C3"/>
    <w:rsid w:val="78FB12B4"/>
    <w:rsid w:val="7900183A"/>
    <w:rsid w:val="79003EBB"/>
    <w:rsid w:val="7907149F"/>
    <w:rsid w:val="791B54B2"/>
    <w:rsid w:val="792D3E1E"/>
    <w:rsid w:val="793009AE"/>
    <w:rsid w:val="797C0647"/>
    <w:rsid w:val="799C0473"/>
    <w:rsid w:val="79A17C38"/>
    <w:rsid w:val="79AB4A88"/>
    <w:rsid w:val="79BF3C0D"/>
    <w:rsid w:val="7A2031CB"/>
    <w:rsid w:val="7A2D69C6"/>
    <w:rsid w:val="7A395308"/>
    <w:rsid w:val="7A490A1F"/>
    <w:rsid w:val="7A534B77"/>
    <w:rsid w:val="7A6B4218"/>
    <w:rsid w:val="7A7F2793"/>
    <w:rsid w:val="7AB82530"/>
    <w:rsid w:val="7AEC35AA"/>
    <w:rsid w:val="7AF9777F"/>
    <w:rsid w:val="7AFF628C"/>
    <w:rsid w:val="7B0A3A31"/>
    <w:rsid w:val="7B362A78"/>
    <w:rsid w:val="7B5D7768"/>
    <w:rsid w:val="7B683067"/>
    <w:rsid w:val="7B6B548B"/>
    <w:rsid w:val="7B780783"/>
    <w:rsid w:val="7B8732D3"/>
    <w:rsid w:val="7BB5399C"/>
    <w:rsid w:val="7BBD6CF5"/>
    <w:rsid w:val="7BC07117"/>
    <w:rsid w:val="7BC82AD2"/>
    <w:rsid w:val="7BE61C29"/>
    <w:rsid w:val="7C125890"/>
    <w:rsid w:val="7C442F72"/>
    <w:rsid w:val="7C907F65"/>
    <w:rsid w:val="7CA02D32"/>
    <w:rsid w:val="7CAD0C46"/>
    <w:rsid w:val="7CB26114"/>
    <w:rsid w:val="7CE509A4"/>
    <w:rsid w:val="7CF1046C"/>
    <w:rsid w:val="7D110775"/>
    <w:rsid w:val="7D4274B2"/>
    <w:rsid w:val="7D666E82"/>
    <w:rsid w:val="7D6873A2"/>
    <w:rsid w:val="7D6D4D61"/>
    <w:rsid w:val="7D960C66"/>
    <w:rsid w:val="7DD70175"/>
    <w:rsid w:val="7E1A61BE"/>
    <w:rsid w:val="7E33329E"/>
    <w:rsid w:val="7E370F85"/>
    <w:rsid w:val="7E37684C"/>
    <w:rsid w:val="7E6D67B0"/>
    <w:rsid w:val="7E6E2528"/>
    <w:rsid w:val="7E6F4ECB"/>
    <w:rsid w:val="7EB20667"/>
    <w:rsid w:val="7EBA6607"/>
    <w:rsid w:val="7EC2731C"/>
    <w:rsid w:val="7ED3126B"/>
    <w:rsid w:val="7EEE0BE5"/>
    <w:rsid w:val="7EEF6447"/>
    <w:rsid w:val="7EF13E19"/>
    <w:rsid w:val="7F022009"/>
    <w:rsid w:val="7F390601"/>
    <w:rsid w:val="7F431716"/>
    <w:rsid w:val="7F651B7D"/>
    <w:rsid w:val="7F686F78"/>
    <w:rsid w:val="7F6A1D5F"/>
    <w:rsid w:val="7F8244DD"/>
    <w:rsid w:val="7F8C745A"/>
    <w:rsid w:val="7F945FBF"/>
    <w:rsid w:val="7F967F89"/>
    <w:rsid w:val="7FAC3308"/>
    <w:rsid w:val="7FD75F49"/>
    <w:rsid w:val="7FF4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6">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spacing w:line="440" w:lineRule="exact"/>
    </w:pPr>
    <w:rPr>
      <w:rFonts w:ascii="Times New Roman" w:hAnsi="Times New Roman" w:eastAsia="宋体" w:cs="Times New Roman"/>
      <w:sz w:val="24"/>
    </w:rPr>
  </w:style>
  <w:style w:type="paragraph" w:styleId="8">
    <w:name w:val="index 8"/>
    <w:basedOn w:val="1"/>
    <w:next w:val="1"/>
    <w:qFormat/>
    <w:uiPriority w:val="0"/>
    <w:pPr>
      <w:spacing w:line="276" w:lineRule="auto"/>
    </w:pPr>
    <w:rPr>
      <w:rFonts w:ascii="宋体" w:hAnsi="宋体" w:eastAsia="宋体" w:cs="Times New Roman"/>
      <w:color w:val="FF0000"/>
    </w:rPr>
  </w:style>
  <w:style w:type="paragraph" w:styleId="9">
    <w:name w:val="Normal Indent"/>
    <w:basedOn w:val="1"/>
    <w:qFormat/>
    <w:uiPriority w:val="0"/>
    <w:pPr>
      <w:ind w:firstLine="420" w:firstLineChars="200"/>
    </w:pPr>
  </w:style>
  <w:style w:type="paragraph" w:styleId="10">
    <w:name w:val="annotation text"/>
    <w:basedOn w:val="1"/>
    <w:link w:val="58"/>
    <w:qFormat/>
    <w:uiPriority w:val="0"/>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Courier New"/>
    </w:rPr>
  </w:style>
  <w:style w:type="paragraph" w:styleId="13">
    <w:name w:val="Body Text Indent 2"/>
    <w:basedOn w:val="1"/>
    <w:qFormat/>
    <w:uiPriority w:val="99"/>
    <w:pPr>
      <w:ind w:firstLine="630"/>
    </w:pPr>
    <w:rPr>
      <w:sz w:val="32"/>
      <w:szCs w:val="32"/>
    </w:rPr>
  </w:style>
  <w:style w:type="paragraph" w:styleId="14">
    <w:name w:val="Balloon Text"/>
    <w:basedOn w:val="1"/>
    <w:link w:val="61"/>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envelope return"/>
    <w:basedOn w:val="1"/>
    <w:qFormat/>
    <w:uiPriority w:val="0"/>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0"/>
  </w:style>
  <w:style w:type="paragraph" w:styleId="19">
    <w:name w:val="Body Text Indent 3"/>
    <w:basedOn w:val="1"/>
    <w:qFormat/>
    <w:uiPriority w:val="0"/>
    <w:pPr>
      <w:spacing w:line="300" w:lineRule="auto"/>
      <w:ind w:firstLine="435"/>
    </w:pPr>
    <w:rPr>
      <w:color w:val="FF0000"/>
      <w:sz w:val="24"/>
    </w:rPr>
  </w:style>
  <w:style w:type="paragraph" w:styleId="20">
    <w:name w:val="Body Text 2"/>
    <w:basedOn w:val="1"/>
    <w:unhideWhenUsed/>
    <w:qFormat/>
    <w:uiPriority w:val="0"/>
    <w:rPr>
      <w:rFonts w:ascii="宋体" w:hAnsi="宋体"/>
      <w:b/>
      <w:sz w:val="24"/>
      <w:szCs w:val="20"/>
    </w:rPr>
  </w:style>
  <w:style w:type="paragraph" w:styleId="21">
    <w:name w:val="HTML Preformatted"/>
    <w:basedOn w:val="1"/>
    <w:link w:val="6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paragraph" w:styleId="22">
    <w:name w:val="Normal (Web)"/>
    <w:basedOn w:val="1"/>
    <w:qFormat/>
    <w:uiPriority w:val="0"/>
    <w:pPr>
      <w:spacing w:before="100" w:beforeAutospacing="1" w:after="100" w:afterAutospacing="1"/>
    </w:pPr>
    <w:rPr>
      <w:rFonts w:ascii="宋体" w:hAnsi="宋体" w:cs="宋体"/>
      <w:sz w:val="18"/>
      <w:szCs w:val="18"/>
    </w:rPr>
  </w:style>
  <w:style w:type="paragraph" w:styleId="23">
    <w:name w:val="Title"/>
    <w:basedOn w:val="1"/>
    <w:next w:val="1"/>
    <w:qFormat/>
    <w:uiPriority w:val="0"/>
    <w:pPr>
      <w:spacing w:before="240" w:after="60"/>
      <w:jc w:val="center"/>
      <w:outlineLvl w:val="0"/>
    </w:pPr>
    <w:rPr>
      <w:b/>
      <w:bCs/>
      <w:sz w:val="32"/>
      <w:szCs w:val="32"/>
    </w:rPr>
  </w:style>
  <w:style w:type="paragraph" w:styleId="24">
    <w:name w:val="Body Text First Indent 2"/>
    <w:basedOn w:val="11"/>
    <w:next w:val="1"/>
    <w:qFormat/>
    <w:uiPriority w:val="0"/>
    <w:pPr>
      <w:ind w:firstLine="420" w:firstLineChars="200"/>
    </w:pPr>
  </w:style>
  <w:style w:type="character" w:styleId="27">
    <w:name w:val="Strong"/>
    <w:qFormat/>
    <w:uiPriority w:val="0"/>
    <w:rPr>
      <w:b/>
      <w:bCs/>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26E5"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NormalCharacter"/>
    <w:qFormat/>
    <w:uiPriority w:val="0"/>
  </w:style>
  <w:style w:type="paragraph" w:customStyle="1" w:styleId="33">
    <w:name w:val="样式王"/>
    <w:basedOn w:val="1"/>
    <w:qFormat/>
    <w:uiPriority w:val="0"/>
    <w:rPr>
      <w:rFonts w:ascii="Times New Roman" w:hAnsi="Times New Roman" w:eastAsia="宋体" w:cs="Times New Roman"/>
      <w:szCs w:val="24"/>
    </w:rPr>
  </w:style>
  <w:style w:type="paragraph" w:customStyle="1" w:styleId="34">
    <w:name w:val="Table Paragraph"/>
    <w:basedOn w:val="1"/>
    <w:qFormat/>
    <w:uiPriority w:val="1"/>
    <w:rPr>
      <w:rFonts w:ascii="Calibri" w:hAnsi="Calibri" w:eastAsia="Calibri"/>
      <w:sz w:val="22"/>
      <w:lang w:eastAsia="en-US"/>
    </w:rPr>
  </w:style>
  <w:style w:type="paragraph" w:customStyle="1" w:styleId="35">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Heading #2|1"/>
    <w:basedOn w:val="1"/>
    <w:qFormat/>
    <w:uiPriority w:val="0"/>
    <w:pPr>
      <w:widowControl w:val="0"/>
      <w:spacing w:after="670"/>
      <w:jc w:val="center"/>
      <w:outlineLvl w:val="1"/>
    </w:pPr>
    <w:rPr>
      <w:rFonts w:ascii="宋体" w:hAnsi="宋体" w:eastAsia="宋体" w:cs="宋体"/>
      <w:sz w:val="44"/>
      <w:szCs w:val="44"/>
      <w:lang w:val="zh-TW" w:eastAsia="zh-TW" w:bidi="zh-TW"/>
    </w:rPr>
  </w:style>
  <w:style w:type="paragraph" w:customStyle="1" w:styleId="37">
    <w:name w:val="Body Text_7"/>
    <w:basedOn w:val="38"/>
    <w:qFormat/>
    <w:uiPriority w:val="0"/>
    <w:rPr>
      <w:rFonts w:ascii="宋体" w:hAnsi="宋体"/>
      <w:sz w:val="24"/>
      <w:szCs w:val="24"/>
    </w:rPr>
  </w:style>
  <w:style w:type="paragraph" w:customStyle="1" w:styleId="38">
    <w:name w:val="Normal_19_0"/>
    <w:basedOn w:val="39"/>
    <w:qFormat/>
    <w:uiPriority w:val="0"/>
    <w:rPr>
      <w:szCs w:val="21"/>
    </w:rPr>
  </w:style>
  <w:style w:type="paragraph" w:customStyle="1" w:styleId="39">
    <w:name w:val="Normal_1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10_4"/>
    <w:basedOn w:val="26"/>
    <w:qFormat/>
    <w:uiPriority w:val="0"/>
    <w:rPr>
      <w:rFonts w:hint="default" w:ascii="Times New Roman" w:hAnsi="Times New Roman" w:eastAsia="宋体" w:cs="Times New Roman"/>
    </w:rPr>
  </w:style>
  <w:style w:type="paragraph" w:customStyle="1" w:styleId="41">
    <w:name w:val="Table Paragraph_1_0"/>
    <w:basedOn w:val="38"/>
    <w:qFormat/>
    <w:uiPriority w:val="0"/>
    <w:rPr>
      <w:rFonts w:ascii="宋体" w:hAnsi="宋体" w:cs="宋体"/>
    </w:rPr>
  </w:style>
  <w:style w:type="character" w:customStyle="1" w:styleId="42">
    <w:name w:val="15_1"/>
    <w:basedOn w:val="26"/>
    <w:qFormat/>
    <w:uiPriority w:val="0"/>
    <w:rPr>
      <w:rFonts w:hint="default" w:ascii="Times New Roman" w:hAnsi="Times New Roman" w:eastAsia="宋体" w:cs="Times New Roman"/>
    </w:rPr>
  </w:style>
  <w:style w:type="paragraph" w:customStyle="1" w:styleId="43">
    <w:name w:val="Plain Text_0"/>
    <w:basedOn w:val="38"/>
    <w:qFormat/>
    <w:uiPriority w:val="0"/>
    <w:rPr>
      <w:rFonts w:ascii="宋体" w:hAnsi="Courier New"/>
    </w:rPr>
  </w:style>
  <w:style w:type="paragraph" w:customStyle="1" w:styleId="44">
    <w:name w:val="普通(网站)1"/>
    <w:basedOn w:val="1"/>
    <w:qFormat/>
    <w:uiPriority w:val="0"/>
    <w:pPr>
      <w:spacing w:before="100" w:beforeAutospacing="1" w:after="100" w:afterAutospacing="1"/>
    </w:pPr>
    <w:rPr>
      <w:rFonts w:ascii="宋体" w:hAnsi="宋体" w:eastAsia="仿宋_GB2312"/>
      <w:sz w:val="24"/>
      <w:szCs w:val="20"/>
    </w:r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0"/>
    <w:basedOn w:val="47"/>
    <w:qFormat/>
    <w:uiPriority w:val="0"/>
    <w:rPr>
      <w:szCs w:val="21"/>
    </w:rPr>
  </w:style>
  <w:style w:type="paragraph" w:customStyle="1" w:styleId="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10_1"/>
    <w:basedOn w:val="26"/>
    <w:qFormat/>
    <w:uiPriority w:val="0"/>
    <w:rPr>
      <w:rFonts w:hint="default" w:ascii="Times New Roman" w:hAnsi="Times New Roman" w:cs="Times New Roman"/>
    </w:rPr>
  </w:style>
  <w:style w:type="paragraph" w:customStyle="1" w:styleId="49">
    <w:name w:val="样式1"/>
    <w:basedOn w:val="1"/>
    <w:qFormat/>
    <w:uiPriority w:val="0"/>
    <w:rPr>
      <w:rFonts w:ascii="仿宋_GB2312" w:hAnsi="宋体" w:eastAsia="仿宋_GB2312"/>
      <w:b/>
      <w:bCs/>
      <w:sz w:val="20"/>
    </w:rPr>
  </w:style>
  <w:style w:type="paragraph" w:customStyle="1" w:styleId="50">
    <w:name w:val="表格正文"/>
    <w:basedOn w:val="1"/>
    <w:qFormat/>
    <w:uiPriority w:val="0"/>
    <w:pPr>
      <w:spacing w:line="360" w:lineRule="auto"/>
    </w:pPr>
    <w:rPr>
      <w:rFonts w:eastAsia="楷体" w:cs="楷体"/>
      <w:sz w:val="22"/>
      <w:szCs w:val="22"/>
      <w:lang w:val="zh-CN" w:bidi="zh-CN"/>
    </w:rPr>
  </w:style>
  <w:style w:type="paragraph" w:customStyle="1" w:styleId="51">
    <w:name w:val="Table Text"/>
    <w:basedOn w:val="1"/>
    <w:semiHidden/>
    <w:qFormat/>
    <w:uiPriority w:val="0"/>
    <w:rPr>
      <w:rFonts w:ascii="宋体" w:hAnsi="宋体" w:eastAsia="宋体" w:cs="宋体"/>
      <w:sz w:val="20"/>
      <w:szCs w:val="20"/>
      <w:lang w:eastAsia="en-US"/>
    </w:rPr>
  </w:style>
  <w:style w:type="paragraph" w:customStyle="1" w:styleId="52">
    <w:name w:val="正  文"/>
    <w:basedOn w:val="1"/>
    <w:qFormat/>
    <w:uiPriority w:val="0"/>
    <w:pPr>
      <w:spacing w:line="560" w:lineRule="exact"/>
      <w:ind w:firstLine="200" w:firstLineChars="200"/>
    </w:pPr>
    <w:rPr>
      <w:rFonts w:eastAsia="仿宋_GB2312"/>
      <w:sz w:val="28"/>
      <w:szCs w:val="28"/>
    </w:rPr>
  </w:style>
  <w:style w:type="paragraph" w:customStyle="1" w:styleId="53">
    <w:name w:val="null3"/>
    <w:qFormat/>
    <w:uiPriority w:val="0"/>
    <w:rPr>
      <w:rFonts w:hint="eastAsia" w:ascii="Calibri" w:hAnsi="Calibri" w:eastAsia="宋体" w:cs="Times New Roman"/>
      <w:lang w:val="en-US" w:eastAsia="zh-Hans" w:bidi="ar-SA"/>
    </w:rPr>
  </w:style>
  <w:style w:type="paragraph" w:customStyle="1" w:styleId="54">
    <w:name w:val="标题1"/>
    <w:basedOn w:val="3"/>
    <w:qFormat/>
    <w:uiPriority w:val="0"/>
    <w:pPr>
      <w:spacing w:line="360" w:lineRule="auto"/>
    </w:pPr>
    <w:rPr>
      <w:rFonts w:ascii="方正小标宋简体" w:eastAsia="方正小标宋简体"/>
      <w:b w:val="0"/>
      <w:sz w:val="32"/>
      <w:szCs w:val="32"/>
    </w:rPr>
  </w:style>
  <w:style w:type="character" w:customStyle="1" w:styleId="55">
    <w:name w:val="标题 2 Char"/>
    <w:link w:val="4"/>
    <w:qFormat/>
    <w:uiPriority w:val="0"/>
    <w:rPr>
      <w:rFonts w:asciiTheme="majorHAnsi" w:hAnsiTheme="majorHAnsi" w:eastAsiaTheme="majorEastAsia" w:cstheme="majorBidi"/>
      <w:b/>
      <w:bCs/>
      <w:sz w:val="32"/>
      <w:szCs w:val="32"/>
    </w:rPr>
  </w:style>
  <w:style w:type="paragraph" w:styleId="56">
    <w:name w:val="List Paragraph"/>
    <w:basedOn w:val="1"/>
    <w:qFormat/>
    <w:uiPriority w:val="34"/>
    <w:pPr>
      <w:ind w:firstLine="420" w:firstLineChars="200"/>
    </w:pPr>
    <w:rPr>
      <w:rFonts w:ascii="宋体"/>
      <w:sz w:val="18"/>
      <w:szCs w:val="18"/>
    </w:rPr>
  </w:style>
  <w:style w:type="paragraph" w:customStyle="1" w:styleId="57">
    <w:name w:val="WPSOffice手动目录 1"/>
    <w:qFormat/>
    <w:uiPriority w:val="0"/>
    <w:rPr>
      <w:rFonts w:asciiTheme="minorHAnsi" w:hAnsiTheme="minorHAnsi" w:eastAsiaTheme="minorEastAsia" w:cstheme="minorBidi"/>
      <w:lang w:val="en-US" w:eastAsia="zh-CN" w:bidi="ar-SA"/>
    </w:rPr>
  </w:style>
  <w:style w:type="character" w:customStyle="1" w:styleId="58">
    <w:name w:val="批注文字 Char"/>
    <w:basedOn w:val="26"/>
    <w:link w:val="10"/>
    <w:qFormat/>
    <w:uiPriority w:val="0"/>
    <w:rPr>
      <w:rFonts w:ascii="Arial" w:hAnsi="Arial" w:eastAsia="Arial" w:cs="Arial"/>
      <w:snapToGrid w:val="0"/>
      <w:color w:val="000000"/>
      <w:sz w:val="21"/>
      <w:szCs w:val="21"/>
    </w:rPr>
  </w:style>
  <w:style w:type="character" w:customStyle="1" w:styleId="59">
    <w:name w:val="正文文本 Char"/>
    <w:basedOn w:val="26"/>
    <w:link w:val="2"/>
    <w:qFormat/>
    <w:uiPriority w:val="0"/>
    <w:rPr>
      <w:rFonts w:ascii="Times New Roman" w:hAnsi="Times New Roman" w:eastAsia="宋体" w:cs="Times New Roman"/>
      <w:snapToGrid w:val="0"/>
      <w:color w:val="000000"/>
      <w:sz w:val="24"/>
      <w:szCs w:val="21"/>
    </w:rPr>
  </w:style>
  <w:style w:type="character" w:customStyle="1" w:styleId="60">
    <w:name w:val="HTML 预设格式 Char"/>
    <w:basedOn w:val="26"/>
    <w:link w:val="21"/>
    <w:qFormat/>
    <w:uiPriority w:val="99"/>
    <w:rPr>
      <w:rFonts w:ascii="宋体" w:hAnsi="宋体" w:eastAsia="宋体" w:cs="宋体"/>
      <w:sz w:val="24"/>
      <w:szCs w:val="24"/>
    </w:rPr>
  </w:style>
  <w:style w:type="character" w:customStyle="1" w:styleId="61">
    <w:name w:val="批注框文本 Char"/>
    <w:basedOn w:val="26"/>
    <w:link w:val="14"/>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川北高速公路股份有限公司绵阳管理处</Company>
  <Pages>52</Pages>
  <Words>13004</Words>
  <Characters>13758</Characters>
  <Lines>213</Lines>
  <Paragraphs>60</Paragraphs>
  <TotalTime>8</TotalTime>
  <ScaleCrop>false</ScaleCrop>
  <LinksUpToDate>false</LinksUpToDate>
  <CharactersWithSpaces>14188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2025-03-11T01:59:00Z</dcterms:created>
  <dc:creator>HxY</dc:creator>
  <cp:lastModifiedBy>刘娅</cp:lastModifiedBy>
  <cp:lastPrinted>2025-04-25T02:56:00Z</cp:lastPrinted>
  <dcterms:modified xsi:type="dcterms:W3CDTF">2025-06-20T02:39:01Z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F73613A985D84ECD9704CE4FFC6E1478_13</vt:lpwstr>
  </property>
  <property fmtid="{D5CDD505-2E9C-101B-9397-08002B2CF9AE}" pid="4" name="KSOTemplateDocerSaveRecord">
    <vt:lpwstr>eyJoZGlkIjoiMTNhNWIyM2JiY2U0ODg0MDA5MzllN2VhODVkMTg4ZGUiLCJ1c2VySWQiOiIzNzE3NjY1NTQifQ==</vt:lpwstr>
  </property>
</Properties>
</file>